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jc w:val="left"/>
        <w:rPr>
          <w:rFonts w:ascii="方正黑体简体" w:eastAsia="方正黑体简体"/>
          <w:spacing w:val="-2"/>
          <w:sz w:val="32"/>
          <w:szCs w:val="32"/>
        </w:rPr>
      </w:pPr>
      <w:bookmarkStart w:id="1" w:name="_GoBack"/>
      <w:bookmarkEnd w:id="1"/>
    </w:p>
    <w:p>
      <w:pPr>
        <w:jc w:val="center"/>
        <w:rPr>
          <w:rFonts w:eastAsia="华文中宋"/>
          <w:b/>
          <w:sz w:val="48"/>
          <w:szCs w:val="48"/>
        </w:rPr>
      </w:pPr>
      <w:r>
        <w:rPr>
          <w:rFonts w:eastAsia="华文中宋"/>
          <w:b/>
          <w:sz w:val="48"/>
          <w:szCs w:val="48"/>
        </w:rPr>
        <w:t>中</w:t>
      </w:r>
      <w:r>
        <w:rPr>
          <w:rFonts w:hint="eastAsia" w:eastAsia="华文中宋"/>
          <w:b/>
          <w:sz w:val="48"/>
          <w:szCs w:val="48"/>
        </w:rPr>
        <w:t>国出入境检验检疫协会团体标准</w:t>
      </w:r>
    </w:p>
    <w:p>
      <w:pPr>
        <w:jc w:val="center"/>
        <w:rPr>
          <w:rFonts w:eastAsia="华文中宋"/>
          <w:b/>
          <w:sz w:val="48"/>
          <w:szCs w:val="48"/>
          <w:highlight w:val="lightGray"/>
        </w:rPr>
      </w:pPr>
      <w:r>
        <w:rPr>
          <w:rFonts w:hint="eastAsia" w:eastAsia="华文中宋"/>
          <w:b/>
          <w:sz w:val="48"/>
          <w:szCs w:val="48"/>
          <w:highlight w:val="lightGray"/>
        </w:rPr>
        <w:t xml:space="preserve">工作场所空气中油雾的测定 </w:t>
      </w:r>
    </w:p>
    <w:p>
      <w:pPr>
        <w:jc w:val="center"/>
        <w:rPr>
          <w:rFonts w:eastAsia="华文中宋"/>
          <w:b/>
          <w:sz w:val="48"/>
          <w:szCs w:val="48"/>
          <w:highlight w:val="lightGray"/>
        </w:rPr>
      </w:pPr>
      <w:r>
        <w:rPr>
          <w:rFonts w:hint="eastAsia" w:eastAsia="华文中宋"/>
          <w:b/>
          <w:sz w:val="48"/>
          <w:szCs w:val="48"/>
          <w:highlight w:val="lightGray"/>
        </w:rPr>
        <w:t>红外分光光度法</w:t>
      </w:r>
    </w:p>
    <w:p>
      <w:pPr>
        <w:jc w:val="center"/>
        <w:rPr>
          <w:rFonts w:eastAsia="华文中宋"/>
          <w:b/>
          <w:sz w:val="36"/>
          <w:szCs w:val="36"/>
        </w:rPr>
      </w:pPr>
      <w:r>
        <w:rPr>
          <w:rFonts w:hint="eastAsia" w:eastAsia="华文中宋"/>
          <w:b/>
          <w:sz w:val="36"/>
          <w:szCs w:val="36"/>
        </w:rPr>
        <w:t>（征求意见</w:t>
      </w:r>
      <w:r>
        <w:rPr>
          <w:rFonts w:eastAsia="华文中宋"/>
          <w:b/>
          <w:sz w:val="36"/>
          <w:szCs w:val="36"/>
        </w:rPr>
        <w:t>稿）</w:t>
      </w:r>
    </w:p>
    <w:p>
      <w:pPr>
        <w:jc w:val="center"/>
        <w:rPr>
          <w:rFonts w:eastAsia="华文中宋"/>
          <w:b/>
          <w:sz w:val="72"/>
          <w:szCs w:val="72"/>
        </w:rPr>
      </w:pPr>
    </w:p>
    <w:p>
      <w:pPr>
        <w:jc w:val="center"/>
        <w:rPr>
          <w:rFonts w:eastAsia="华文中宋"/>
          <w:b/>
          <w:sz w:val="72"/>
          <w:szCs w:val="72"/>
        </w:rPr>
      </w:pPr>
    </w:p>
    <w:p>
      <w:pPr>
        <w:jc w:val="center"/>
        <w:rPr>
          <w:b/>
          <w:sz w:val="72"/>
          <w:szCs w:val="72"/>
        </w:rPr>
      </w:pPr>
      <w:r>
        <w:rPr>
          <w:b/>
          <w:sz w:val="72"/>
          <w:szCs w:val="72"/>
        </w:rPr>
        <w:t>编制说明</w:t>
      </w:r>
    </w:p>
    <w:p>
      <w:pPr>
        <w:jc w:val="center"/>
        <w:rPr>
          <w:sz w:val="28"/>
          <w:szCs w:val="28"/>
        </w:rPr>
      </w:pPr>
    </w:p>
    <w:p>
      <w:pPr>
        <w:jc w:val="center"/>
        <w:rPr>
          <w:sz w:val="28"/>
          <w:szCs w:val="28"/>
        </w:rPr>
      </w:pPr>
    </w:p>
    <w:p>
      <w:pPr>
        <w:jc w:val="center"/>
        <w:rPr>
          <w:rFonts w:eastAsia="黑体"/>
          <w:color w:val="00B050"/>
          <w:sz w:val="32"/>
          <w:szCs w:val="32"/>
        </w:rPr>
      </w:pPr>
    </w:p>
    <w:p>
      <w:pPr>
        <w:jc w:val="center"/>
        <w:rPr>
          <w:rFonts w:eastAsia="华文中宋"/>
          <w:b/>
          <w:sz w:val="48"/>
          <w:szCs w:val="48"/>
        </w:rPr>
      </w:pPr>
    </w:p>
    <w:p>
      <w:pPr>
        <w:jc w:val="center"/>
        <w:rPr>
          <w:rFonts w:eastAsia="华文中宋"/>
          <w:b/>
          <w:sz w:val="48"/>
          <w:szCs w:val="48"/>
        </w:rPr>
      </w:pPr>
    </w:p>
    <w:p>
      <w:pPr>
        <w:jc w:val="center"/>
        <w:rPr>
          <w:rFonts w:eastAsia="华文中宋"/>
          <w:b/>
          <w:sz w:val="48"/>
          <w:szCs w:val="48"/>
        </w:rPr>
      </w:pPr>
    </w:p>
    <w:p>
      <w:pPr>
        <w:jc w:val="center"/>
        <w:rPr>
          <w:rFonts w:eastAsia="华文中宋"/>
          <w:b/>
          <w:sz w:val="48"/>
          <w:szCs w:val="48"/>
        </w:rPr>
      </w:pPr>
      <w:r>
        <w:rPr>
          <w:rFonts w:eastAsia="华文中宋"/>
          <w:b/>
          <w:sz w:val="48"/>
          <w:szCs w:val="48"/>
        </w:rPr>
        <w:t>标准编制组</w:t>
      </w:r>
    </w:p>
    <w:p>
      <w:pPr>
        <w:jc w:val="center"/>
        <w:rPr>
          <w:rFonts w:eastAsia="华文中宋"/>
          <w:b/>
          <w:sz w:val="48"/>
          <w:szCs w:val="48"/>
        </w:rPr>
      </w:pPr>
      <w:r>
        <w:rPr>
          <w:rFonts w:eastAsia="华文中宋"/>
          <w:b/>
          <w:sz w:val="48"/>
          <w:szCs w:val="48"/>
        </w:rPr>
        <w:t>20</w:t>
      </w:r>
      <w:r>
        <w:rPr>
          <w:rFonts w:hint="eastAsia" w:eastAsia="华文中宋"/>
          <w:b/>
          <w:sz w:val="48"/>
          <w:szCs w:val="48"/>
        </w:rPr>
        <w:t>23</w:t>
      </w:r>
      <w:r>
        <w:rPr>
          <w:rFonts w:eastAsia="华文中宋"/>
          <w:b/>
          <w:sz w:val="48"/>
          <w:szCs w:val="48"/>
        </w:rPr>
        <w:t>-0</w:t>
      </w:r>
      <w:r>
        <w:rPr>
          <w:rFonts w:hint="eastAsia" w:eastAsia="华文中宋"/>
          <w:b/>
          <w:sz w:val="48"/>
          <w:szCs w:val="48"/>
        </w:rPr>
        <w:t>6</w:t>
      </w:r>
    </w:p>
    <w:p>
      <w:pPr>
        <w:pStyle w:val="7"/>
        <w:rPr>
          <w:kern w:val="0"/>
        </w:rPr>
      </w:pPr>
    </w:p>
    <w:p/>
    <w:p/>
    <w:p>
      <w:pPr>
        <w:pStyle w:val="14"/>
        <w:spacing w:line="360" w:lineRule="auto"/>
        <w:ind w:left="420" w:hanging="420"/>
      </w:pPr>
      <w:r>
        <w:rPr>
          <w:rFonts w:hint="eastAsia"/>
        </w:rPr>
        <w:t>《</w:t>
      </w:r>
      <w:r>
        <w:rPr>
          <w:rFonts w:hint="eastAsia" w:ascii="方正仿宋简体" w:hAnsi="宋体" w:eastAsia="方正仿宋简体" w:cs="宋体"/>
          <w:color w:val="000000"/>
          <w:szCs w:val="21"/>
        </w:rPr>
        <w:t>工作场所空气中油雾的测定 红外分光光度法</w:t>
      </w:r>
      <w:r>
        <w:rPr>
          <w:rFonts w:hint="eastAsia"/>
        </w:rPr>
        <w:t>》团体标准编制说明</w:t>
      </w:r>
    </w:p>
    <w:p>
      <w:pPr>
        <w:pStyle w:val="15"/>
        <w:numPr>
          <w:ilvl w:val="0"/>
          <w:numId w:val="2"/>
        </w:numPr>
        <w:spacing w:line="360" w:lineRule="auto"/>
        <w:ind w:firstLineChars="0"/>
        <w:rPr>
          <w:b/>
          <w:bCs/>
          <w:sz w:val="28"/>
          <w:szCs w:val="28"/>
        </w:rPr>
      </w:pPr>
      <w:r>
        <w:rPr>
          <w:rFonts w:hint="eastAsia"/>
          <w:b/>
          <w:bCs/>
          <w:sz w:val="28"/>
          <w:szCs w:val="28"/>
        </w:rPr>
        <w:t>工作简况</w:t>
      </w:r>
    </w:p>
    <w:p>
      <w:pPr>
        <w:pStyle w:val="15"/>
        <w:numPr>
          <w:ilvl w:val="0"/>
          <w:numId w:val="3"/>
        </w:numPr>
        <w:spacing w:line="360" w:lineRule="auto"/>
        <w:ind w:firstLineChars="0"/>
        <w:rPr>
          <w:b/>
          <w:bCs/>
          <w:sz w:val="24"/>
          <w:szCs w:val="24"/>
        </w:rPr>
      </w:pPr>
      <w:r>
        <w:rPr>
          <w:rFonts w:hint="eastAsia"/>
          <w:b/>
          <w:bCs/>
          <w:sz w:val="24"/>
          <w:szCs w:val="24"/>
        </w:rPr>
        <w:t>任务来源：</w:t>
      </w:r>
    </w:p>
    <w:p>
      <w:pPr>
        <w:pStyle w:val="15"/>
        <w:spacing w:line="360" w:lineRule="auto"/>
        <w:ind w:firstLine="480"/>
        <w:rPr>
          <w:rFonts w:ascii="Times New Roman" w:hAnsi="Times New Roman" w:cs="Times New Roman"/>
          <w:bCs/>
          <w:sz w:val="24"/>
          <w:szCs w:val="24"/>
        </w:rPr>
      </w:pPr>
      <w:r>
        <w:rPr>
          <w:rFonts w:ascii="Times New Roman" w:hAnsi="Times New Roman" w:cs="Times New Roman"/>
          <w:bCs/>
          <w:sz w:val="24"/>
          <w:szCs w:val="24"/>
        </w:rPr>
        <w:t>根据中国出入境检验检疫会“中检协【2021】34号”文件“关于批准《工作场所空气中油雾的测定 红外分光光度法》团体标准立项的通知”正式将《工作场所空气中油雾的测定 红外分光光度法》列为国家团体标准制定项目，项目立项号：P/CIQA-70-2021，归口单位：中国出入境检验检疫协会。</w:t>
      </w:r>
    </w:p>
    <w:p>
      <w:pPr>
        <w:pStyle w:val="15"/>
        <w:spacing w:line="360" w:lineRule="auto"/>
        <w:ind w:firstLine="480"/>
        <w:rPr>
          <w:rFonts w:ascii="Times New Roman" w:hAnsi="Times New Roman" w:cs="Times New Roman"/>
          <w:bCs/>
          <w:sz w:val="24"/>
          <w:szCs w:val="24"/>
        </w:rPr>
      </w:pPr>
      <w:r>
        <w:rPr>
          <w:rFonts w:ascii="Times New Roman" w:hAnsi="Times New Roman" w:cs="Times New Roman"/>
          <w:bCs/>
          <w:sz w:val="24"/>
          <w:szCs w:val="24"/>
        </w:rPr>
        <w:t>本标准在编制过程中按照GB/T1.1-2020《标准化工作导则 第1部分：标准的结构和编写规则》的要求和规定而编写，力求符合规范化与标准化的要求。</w:t>
      </w:r>
    </w:p>
    <w:p>
      <w:pPr>
        <w:pStyle w:val="15"/>
        <w:spacing w:line="360" w:lineRule="auto"/>
        <w:ind w:firstLine="480"/>
        <w:rPr>
          <w:bCs/>
          <w:sz w:val="24"/>
          <w:szCs w:val="24"/>
        </w:rPr>
      </w:pPr>
    </w:p>
    <w:p>
      <w:pPr>
        <w:pStyle w:val="15"/>
        <w:numPr>
          <w:ilvl w:val="0"/>
          <w:numId w:val="3"/>
        </w:numPr>
        <w:spacing w:line="360" w:lineRule="auto"/>
        <w:ind w:firstLineChars="0"/>
        <w:rPr>
          <w:rFonts w:ascii="Times New Roman" w:hAnsi="Times New Roman" w:cs="Times New Roman"/>
          <w:b/>
          <w:bCs/>
          <w:sz w:val="24"/>
          <w:szCs w:val="24"/>
        </w:rPr>
      </w:pPr>
      <w:r>
        <w:rPr>
          <w:rFonts w:ascii="Times New Roman" w:hAnsi="Times New Roman" w:cs="Times New Roman"/>
          <w:b/>
          <w:bCs/>
          <w:sz w:val="24"/>
          <w:szCs w:val="24"/>
        </w:rPr>
        <w:t>主要工作过程</w:t>
      </w:r>
    </w:p>
    <w:p>
      <w:pPr>
        <w:pStyle w:val="15"/>
        <w:spacing w:line="360" w:lineRule="auto"/>
        <w:ind w:firstLine="480"/>
        <w:rPr>
          <w:rFonts w:ascii="Times New Roman" w:hAnsi="Times New Roman" w:cs="Times New Roman" w:eastAsiaTheme="majorEastAsia"/>
          <w:bCs/>
          <w:color w:val="000000" w:themeColor="text1"/>
          <w:sz w:val="24"/>
        </w:rPr>
      </w:pPr>
      <w:r>
        <w:rPr>
          <w:rFonts w:ascii="Times New Roman" w:hAnsi="Times New Roman" w:cs="Times New Roman" w:eastAsiaTheme="majorEastAsia"/>
          <w:bCs/>
          <w:color w:val="000000" w:themeColor="text1"/>
          <w:sz w:val="24"/>
        </w:rPr>
        <w:t>本标准主要起草单位为中国检验认证集团湖北有限公司、湖北中检检测有限公司。参与单位有</w:t>
      </w:r>
      <w:r>
        <w:rPr>
          <w:rFonts w:ascii="Times New Roman" w:hAnsi="Times New Roman" w:eastAsia="宋体" w:cs="Times New Roman"/>
          <w:sz w:val="24"/>
          <w:szCs w:val="24"/>
        </w:rPr>
        <w:t>湖北华信中正检测技术有限公司、武汉海关技术中心襄阳检测实验室、武汉仲联诚鉴检测技术有限公司、湖北科艾乐检测科技有限公司、湖北省纤维检验局、中检（深圳）环境技术服务有限公司</w:t>
      </w:r>
      <w:r>
        <w:rPr>
          <w:rFonts w:ascii="Times New Roman" w:hAnsi="Times New Roman" w:cs="Times New Roman" w:eastAsiaTheme="majorEastAsia"/>
          <w:bCs/>
          <w:color w:val="000000" w:themeColor="text1"/>
          <w:sz w:val="24"/>
        </w:rPr>
        <w:t>。</w:t>
      </w:r>
    </w:p>
    <w:p>
      <w:pPr>
        <w:pStyle w:val="15"/>
        <w:spacing w:line="360" w:lineRule="auto"/>
        <w:ind w:firstLine="480"/>
        <w:rPr>
          <w:rFonts w:ascii="Times New Roman" w:hAnsi="Times New Roman" w:eastAsia="宋体" w:cs="Times New Roman"/>
          <w:sz w:val="24"/>
          <w:szCs w:val="24"/>
        </w:rPr>
      </w:pPr>
      <w:r>
        <w:rPr>
          <w:rFonts w:ascii="Times New Roman" w:hAnsi="Times New Roman" w:cs="Times New Roman" w:eastAsiaTheme="majorEastAsia"/>
          <w:bCs/>
          <w:color w:val="000000" w:themeColor="text1"/>
          <w:sz w:val="24"/>
        </w:rPr>
        <w:t>本标准工作小组主要成员有：</w:t>
      </w:r>
      <w:r>
        <w:rPr>
          <w:rFonts w:hint="eastAsia" w:ascii="Times New Roman" w:hAnsi="Times New Roman" w:eastAsia="宋体" w:cs="Times New Roman"/>
          <w:sz w:val="24"/>
          <w:szCs w:val="24"/>
        </w:rPr>
        <w:t>郭鑫</w:t>
      </w:r>
      <w:r>
        <w:rPr>
          <w:rFonts w:ascii="Times New Roman" w:hAnsi="Times New Roman" w:eastAsia="宋体" w:cs="Times New Roman"/>
          <w:sz w:val="24"/>
          <w:szCs w:val="24"/>
        </w:rPr>
        <w:t>、</w:t>
      </w:r>
      <w:r>
        <w:rPr>
          <w:rFonts w:hint="eastAsia" w:ascii="Times New Roman" w:hAnsi="Times New Roman" w:eastAsia="宋体" w:cs="Times New Roman"/>
          <w:sz w:val="24"/>
          <w:szCs w:val="24"/>
        </w:rPr>
        <w:t>曾蕾、张及亮、陈魏、李智、佘菲、王家珍、胡小钟、胡德聪、林雁飞、宋敏、任丹丹、叶诚、潘全、廖其铭、刘锦、黄晶晶、万小蕙、郭静、张康夫</w:t>
      </w:r>
      <w:r>
        <w:rPr>
          <w:rFonts w:ascii="Times New Roman" w:hAnsi="Times New Roman" w:eastAsia="宋体" w:cs="Times New Roman"/>
          <w:sz w:val="24"/>
          <w:szCs w:val="24"/>
        </w:rPr>
        <w:t>。</w:t>
      </w:r>
    </w:p>
    <w:p>
      <w:pPr>
        <w:pStyle w:val="15"/>
        <w:spacing w:line="360" w:lineRule="auto"/>
        <w:ind w:firstLine="480"/>
        <w:rPr>
          <w:rFonts w:ascii="Times New Roman" w:hAnsi="Times New Roman" w:cs="Times New Roman" w:eastAsiaTheme="majorEastAsia"/>
          <w:bCs/>
          <w:color w:val="000000" w:themeColor="text1"/>
          <w:sz w:val="24"/>
        </w:rPr>
      </w:pPr>
      <w:r>
        <w:rPr>
          <w:rFonts w:ascii="Times New Roman" w:hAnsi="Times New Roman" w:cs="Times New Roman" w:eastAsiaTheme="majorEastAsia"/>
          <w:bCs/>
          <w:color w:val="000000" w:themeColor="text1"/>
          <w:sz w:val="24"/>
        </w:rPr>
        <w:t>本标准主要工作过程如下：</w:t>
      </w:r>
    </w:p>
    <w:p>
      <w:pPr>
        <w:pStyle w:val="15"/>
        <w:spacing w:line="360" w:lineRule="auto"/>
        <w:ind w:firstLine="480"/>
        <w:rPr>
          <w:rFonts w:ascii="Times New Roman" w:hAnsi="Times New Roman" w:cs="Times New Roman" w:eastAsiaTheme="majorEastAsia"/>
          <w:bCs/>
          <w:color w:val="000000" w:themeColor="text1"/>
          <w:sz w:val="24"/>
        </w:rPr>
      </w:pPr>
      <w:r>
        <w:rPr>
          <w:rFonts w:ascii="Times New Roman" w:hAnsi="Times New Roman" w:cs="Times New Roman" w:eastAsiaTheme="majorEastAsia"/>
          <w:bCs/>
          <w:color w:val="000000" w:themeColor="text1"/>
          <w:sz w:val="24"/>
        </w:rPr>
        <w:t>2021年1月15日，起草单位提交2021年中国出入境检验检疫协会团体标准立项提案申请书；</w:t>
      </w:r>
    </w:p>
    <w:p>
      <w:pPr>
        <w:pStyle w:val="15"/>
        <w:spacing w:line="360" w:lineRule="auto"/>
        <w:ind w:firstLine="480"/>
        <w:rPr>
          <w:rFonts w:ascii="Times New Roman" w:hAnsi="Times New Roman" w:cs="Times New Roman" w:eastAsiaTheme="majorEastAsia"/>
          <w:bCs/>
          <w:color w:val="000000" w:themeColor="text1"/>
          <w:sz w:val="24"/>
        </w:rPr>
      </w:pPr>
      <w:r>
        <w:rPr>
          <w:rFonts w:ascii="Times New Roman" w:hAnsi="Times New Roman" w:cs="Times New Roman" w:eastAsiaTheme="majorEastAsia"/>
          <w:bCs/>
          <w:color w:val="000000" w:themeColor="text1"/>
          <w:sz w:val="24"/>
        </w:rPr>
        <w:t>2021年4月21日，中国出入境检验检疫协会下达的团体标准《</w:t>
      </w:r>
      <w:r>
        <w:rPr>
          <w:rFonts w:ascii="Times New Roman" w:hAnsi="Times New Roman" w:cs="Times New Roman"/>
          <w:bCs/>
          <w:sz w:val="24"/>
          <w:szCs w:val="24"/>
        </w:rPr>
        <w:t>工作场所空气中油雾的测定 红外分光光度法</w:t>
      </w:r>
      <w:r>
        <w:rPr>
          <w:rFonts w:ascii="Times New Roman" w:hAnsi="Times New Roman" w:cs="Times New Roman" w:eastAsiaTheme="majorEastAsia"/>
          <w:bCs/>
          <w:color w:val="000000" w:themeColor="text1"/>
          <w:sz w:val="24"/>
        </w:rPr>
        <w:t>》立项通知，并成立标准项目工作小组；</w:t>
      </w:r>
    </w:p>
    <w:p>
      <w:pPr>
        <w:pStyle w:val="15"/>
        <w:spacing w:line="360" w:lineRule="auto"/>
        <w:ind w:firstLine="480"/>
        <w:rPr>
          <w:rFonts w:ascii="Times New Roman" w:hAnsi="Times New Roman" w:cs="Times New Roman" w:eastAsiaTheme="majorEastAsia"/>
          <w:bCs/>
          <w:color w:val="000000" w:themeColor="text1"/>
          <w:sz w:val="24"/>
        </w:rPr>
      </w:pPr>
      <w:r>
        <w:rPr>
          <w:rFonts w:ascii="Times New Roman" w:hAnsi="Times New Roman" w:cs="Times New Roman" w:eastAsiaTheme="majorEastAsia"/>
          <w:bCs/>
          <w:color w:val="000000" w:themeColor="text1"/>
          <w:sz w:val="24"/>
        </w:rPr>
        <w:t>2021年5月～8月，完成前期勘验和调研、查新等相关材料的核查。</w:t>
      </w:r>
    </w:p>
    <w:p>
      <w:pPr>
        <w:pStyle w:val="15"/>
        <w:spacing w:line="360" w:lineRule="auto"/>
        <w:ind w:firstLine="480"/>
        <w:rPr>
          <w:rFonts w:ascii="Times New Roman" w:hAnsi="Times New Roman" w:cs="Times New Roman" w:eastAsiaTheme="majorEastAsia"/>
          <w:bCs/>
          <w:color w:val="000000" w:themeColor="text1"/>
          <w:sz w:val="24"/>
        </w:rPr>
      </w:pPr>
      <w:r>
        <w:rPr>
          <w:rFonts w:ascii="Times New Roman" w:hAnsi="Times New Roman" w:cs="Times New Roman" w:eastAsiaTheme="majorEastAsia"/>
          <w:bCs/>
          <w:color w:val="000000" w:themeColor="text1"/>
          <w:sz w:val="24"/>
        </w:rPr>
        <w:t>2021年8月～12月，完成试验用样品的采购和相关实验准备工作。</w:t>
      </w:r>
    </w:p>
    <w:p>
      <w:pPr>
        <w:pStyle w:val="15"/>
        <w:spacing w:line="360" w:lineRule="auto"/>
        <w:ind w:firstLine="480"/>
        <w:rPr>
          <w:rFonts w:ascii="Times New Roman" w:hAnsi="Times New Roman" w:cs="Times New Roman" w:eastAsiaTheme="majorEastAsia"/>
          <w:bCs/>
          <w:color w:val="000000" w:themeColor="text1"/>
          <w:sz w:val="24"/>
        </w:rPr>
      </w:pPr>
      <w:r>
        <w:rPr>
          <w:rFonts w:ascii="Times New Roman" w:hAnsi="Times New Roman" w:cs="Times New Roman" w:eastAsiaTheme="majorEastAsia"/>
          <w:bCs/>
          <w:color w:val="000000" w:themeColor="text1"/>
          <w:sz w:val="24"/>
        </w:rPr>
        <w:t>2022年1月～2023年3月，开展实验研究与验证工作。</w:t>
      </w:r>
    </w:p>
    <w:p>
      <w:pPr>
        <w:pStyle w:val="15"/>
        <w:spacing w:line="360" w:lineRule="auto"/>
        <w:ind w:firstLine="480"/>
        <w:rPr>
          <w:rFonts w:ascii="Times New Roman" w:hAnsi="Times New Roman" w:cs="Times New Roman" w:eastAsiaTheme="majorEastAsia"/>
          <w:bCs/>
          <w:color w:val="000000" w:themeColor="text1"/>
          <w:sz w:val="24"/>
        </w:rPr>
      </w:pPr>
      <w:r>
        <w:rPr>
          <w:rFonts w:ascii="Times New Roman" w:hAnsi="Times New Roman" w:cs="Times New Roman" w:eastAsiaTheme="majorEastAsia"/>
          <w:bCs/>
          <w:color w:val="000000" w:themeColor="text1"/>
          <w:sz w:val="24"/>
        </w:rPr>
        <w:t>2023年5-6月，同外部单位实验室协作验证和结果的统计。</w:t>
      </w:r>
    </w:p>
    <w:p>
      <w:pPr>
        <w:pStyle w:val="15"/>
        <w:spacing w:line="360" w:lineRule="auto"/>
        <w:ind w:firstLine="480"/>
        <w:rPr>
          <w:rFonts w:ascii="Times New Roman" w:hAnsi="Times New Roman" w:cs="Times New Roman" w:eastAsiaTheme="majorEastAsia"/>
          <w:bCs/>
          <w:color w:val="000000" w:themeColor="text1"/>
          <w:sz w:val="24"/>
        </w:rPr>
      </w:pPr>
      <w:r>
        <w:rPr>
          <w:rFonts w:ascii="Times New Roman" w:hAnsi="Times New Roman" w:cs="Times New Roman" w:eastAsiaTheme="majorEastAsia"/>
          <w:bCs/>
          <w:color w:val="000000" w:themeColor="text1"/>
          <w:sz w:val="24"/>
        </w:rPr>
        <w:t>2023年6月，完成编写标准草案初稿，以及编制说明。</w:t>
      </w:r>
    </w:p>
    <w:p>
      <w:pPr>
        <w:pStyle w:val="15"/>
        <w:spacing w:line="360" w:lineRule="auto"/>
        <w:ind w:firstLine="480"/>
        <w:rPr>
          <w:rFonts w:ascii="Times New Roman" w:hAnsi="Times New Roman" w:cs="Times New Roman" w:eastAsiaTheme="majorEastAsia"/>
          <w:bCs/>
          <w:color w:val="000000" w:themeColor="text1"/>
          <w:sz w:val="24"/>
        </w:rPr>
      </w:pPr>
      <w:r>
        <w:rPr>
          <w:rFonts w:ascii="Times New Roman" w:hAnsi="Times New Roman" w:cs="Times New Roman" w:eastAsiaTheme="majorEastAsia"/>
          <w:bCs/>
          <w:color w:val="000000" w:themeColor="text1"/>
          <w:sz w:val="24"/>
        </w:rPr>
        <w:t>2023年7～8月，向各参与单位及相关领域专家征求意见并对标准草案逐字逐句讨论修改。对2022年8月修改后的最终稿作为最后标准征求意见稿上报中国出入境检验检疫协会技术委员会秘书处。</w:t>
      </w:r>
    </w:p>
    <w:p>
      <w:pPr>
        <w:pStyle w:val="15"/>
        <w:spacing w:line="360" w:lineRule="auto"/>
        <w:ind w:firstLine="480"/>
        <w:rPr>
          <w:sz w:val="24"/>
          <w:szCs w:val="24"/>
        </w:rPr>
      </w:pPr>
    </w:p>
    <w:p>
      <w:pPr>
        <w:pStyle w:val="15"/>
        <w:numPr>
          <w:ilvl w:val="0"/>
          <w:numId w:val="2"/>
        </w:numPr>
        <w:spacing w:line="360" w:lineRule="auto"/>
        <w:ind w:firstLineChars="0"/>
        <w:rPr>
          <w:rFonts w:ascii="Times New Roman" w:hAnsi="Times New Roman"/>
          <w:b/>
          <w:sz w:val="28"/>
          <w:szCs w:val="28"/>
        </w:rPr>
      </w:pPr>
      <w:r>
        <w:rPr>
          <w:rFonts w:hint="eastAsia" w:ascii="Times New Roman" w:hAnsi="Times New Roman"/>
          <w:b/>
          <w:sz w:val="28"/>
          <w:szCs w:val="28"/>
        </w:rPr>
        <w:t>制定本标准背景</w:t>
      </w:r>
    </w:p>
    <w:p>
      <w:pPr>
        <w:widowControl/>
        <w:spacing w:line="360" w:lineRule="auto"/>
        <w:ind w:firstLine="480" w:firstLineChars="200"/>
        <w:jc w:val="left"/>
        <w:rPr>
          <w:rFonts w:ascii="Times New Roman" w:hAnsi="Times New Roman" w:cs="Times New Roman"/>
          <w:sz w:val="24"/>
          <w:szCs w:val="24"/>
        </w:rPr>
      </w:pPr>
      <w:r>
        <w:rPr>
          <w:rFonts w:ascii="Times New Roman" w:hAnsi="Times New Roman" w:cs="Times New Roman"/>
          <w:sz w:val="24"/>
          <w:szCs w:val="24"/>
        </w:rPr>
        <w:t>油雾是指在进行机械加工过程中，为了有效的润滑、冷却和清洗等目的广泛使用的矿物油经机加工设备运转过程中泵循环、喷射与高速旋转的刀具或工件激烈的碰撞和高温蒸发后在空气中冷凝形成的含油液滴。工作场所中的油雾成分复杂，主要为碳氢化合物，可能含有少量的卤素 、硫 、氮 和含氧化合物 ，由于烃类的氧化、微生物的繁殖代谢及其他化学反应，油雾演变成有毒有害物质，可导致发病率明显增高的职业病包括良性呼吸系统疾病（哮喘、肺炎等）、过敏性皮肤病和恶性肿瘤等。所以，研究工作场所中油雾的检测方法非常有必要。</w:t>
      </w:r>
    </w:p>
    <w:p>
      <w:pPr>
        <w:spacing w:line="360" w:lineRule="auto"/>
        <w:ind w:firstLine="482"/>
        <w:rPr>
          <w:rFonts w:ascii="Times New Roman" w:hAnsi="Times New Roman" w:cs="Times New Roman"/>
          <w:bCs/>
          <w:color w:val="000000"/>
          <w:sz w:val="24"/>
        </w:rPr>
      </w:pPr>
      <w:r>
        <w:rPr>
          <w:rFonts w:ascii="Times New Roman" w:hAnsi="Times New Roman" w:cs="Times New Roman"/>
          <w:bCs/>
          <w:color w:val="000000"/>
          <w:sz w:val="24"/>
        </w:rPr>
        <w:t>汽车及机械加工制造业是湖北支柱产业，武汉作为中国中部的中心，又有“中国车都”之称，汽车整车、零部件及其他机械加工企业数量较多。为了提高工作场所的环境质量，更好地保护广大职工的身体健康，特制定本标准。</w:t>
      </w:r>
    </w:p>
    <w:p>
      <w:pPr>
        <w:spacing w:line="360" w:lineRule="auto"/>
        <w:ind w:firstLine="482"/>
        <w:rPr>
          <w:rFonts w:ascii="Times New Roman" w:hAnsi="Times New Roman" w:cs="Times New Roman"/>
          <w:bCs/>
          <w:color w:val="000000"/>
          <w:sz w:val="24"/>
        </w:rPr>
      </w:pPr>
      <w:r>
        <w:rPr>
          <w:rFonts w:ascii="Times New Roman" w:hAnsi="Times New Roman" w:cs="Times New Roman"/>
          <w:bCs/>
          <w:color w:val="000000"/>
          <w:sz w:val="24"/>
        </w:rPr>
        <w:t>目前国内外关于油雾的测量方法主要有2种：一种是红外分光光度法（NIOSH 5026） ； 另一种是重量法（《金属切削机床 油雾浓度的测定》（GB/T 23574-2009） 。 它们均主要应用于职业卫生方面，用于测量工作场所中油雾的浓度。由于国家标准重量法的操作较为复杂、仪器要求较高，所以红外法则显得更为简便。但是国外标准采用四氯化碳作为萃取剂，明显违背了蒙特利尔破坏臭氧层物质管制议定书的要求。因此,我们通过多次对比实验，采</w:t>
      </w:r>
      <w:r>
        <w:rPr>
          <w:rFonts w:ascii="Times New Roman" w:hAnsi="Times New Roman" w:cs="Times New Roman"/>
          <w:bCs/>
          <w:sz w:val="24"/>
        </w:rPr>
        <w:t>用聚四氟乙烯滤膜</w:t>
      </w:r>
      <w:r>
        <w:rPr>
          <w:rFonts w:ascii="Times New Roman" w:hAnsi="Times New Roman" w:cs="Times New Roman"/>
          <w:bCs/>
          <w:color w:val="000000"/>
          <w:sz w:val="24"/>
        </w:rPr>
        <w:t>采集工作场所空气中油雾，用四氯乙烯萃取，采用红外分光光度法测定，研究表明，该方法具有准确 、简便 、快速、环保的特点。</w:t>
      </w:r>
    </w:p>
    <w:p>
      <w:pPr>
        <w:spacing w:line="360" w:lineRule="auto"/>
        <w:ind w:firstLine="562" w:firstLineChars="200"/>
        <w:rPr>
          <w:rFonts w:ascii="Times New Roman" w:hAnsi="Times New Roman"/>
          <w:b/>
          <w:sz w:val="28"/>
          <w:szCs w:val="28"/>
        </w:rPr>
      </w:pPr>
      <w:r>
        <w:rPr>
          <w:rFonts w:hint="eastAsia" w:ascii="Times New Roman" w:hAnsi="Times New Roman"/>
          <w:b/>
          <w:sz w:val="28"/>
          <w:szCs w:val="28"/>
        </w:rPr>
        <w:t>标准的结构</w:t>
      </w:r>
    </w:p>
    <w:p>
      <w:pPr>
        <w:pStyle w:val="15"/>
        <w:spacing w:line="360" w:lineRule="auto"/>
        <w:ind w:firstLine="480"/>
        <w:rPr>
          <w:bCs/>
          <w:color w:val="0000FF"/>
          <w:sz w:val="24"/>
        </w:rPr>
      </w:pPr>
      <w:r>
        <w:rPr>
          <w:rFonts w:ascii="Times New Roman" w:hAnsi="Times New Roman" w:cs="Times New Roman"/>
          <w:bCs/>
          <w:sz w:val="24"/>
        </w:rPr>
        <w:t>本标准的结构如下：分为前言、引言，第1章为范围，第2章为规范性引用文件，第3章为术语和定义，第4章为原理，第5章为试剂和材料，第6章为仪器，第7章为测定步骤，第8章为分析步骤，第9章为注意事项</w:t>
      </w:r>
      <w:r>
        <w:rPr>
          <w:rFonts w:ascii="Times New Roman" w:hAnsi="Times New Roman" w:cs="Times New Roman"/>
          <w:bCs/>
          <w:color w:val="0000FF"/>
          <w:sz w:val="24"/>
        </w:rPr>
        <w:t>。</w:t>
      </w:r>
    </w:p>
    <w:p>
      <w:pPr>
        <w:pStyle w:val="15"/>
        <w:spacing w:line="360" w:lineRule="auto"/>
        <w:ind w:firstLine="480"/>
        <w:rPr>
          <w:rFonts w:ascii="Times New Roman" w:hAnsi="Times New Roman"/>
          <w:color w:val="0000FF"/>
          <w:sz w:val="24"/>
          <w:szCs w:val="24"/>
        </w:rPr>
      </w:pPr>
    </w:p>
    <w:p>
      <w:pPr>
        <w:pStyle w:val="15"/>
        <w:numPr>
          <w:ilvl w:val="0"/>
          <w:numId w:val="2"/>
        </w:numPr>
        <w:spacing w:line="360" w:lineRule="auto"/>
        <w:ind w:firstLineChars="0"/>
        <w:rPr>
          <w:rFonts w:ascii="Times New Roman" w:hAnsi="Times New Roman"/>
          <w:b/>
          <w:sz w:val="28"/>
          <w:szCs w:val="28"/>
        </w:rPr>
      </w:pPr>
      <w:r>
        <w:rPr>
          <w:rFonts w:hint="eastAsia" w:ascii="Times New Roman" w:hAnsi="Times New Roman"/>
          <w:b/>
          <w:sz w:val="28"/>
          <w:szCs w:val="28"/>
        </w:rPr>
        <w:t>主要技术工作介绍</w:t>
      </w:r>
    </w:p>
    <w:p>
      <w:pPr>
        <w:pStyle w:val="15"/>
        <w:numPr>
          <w:ilvl w:val="0"/>
          <w:numId w:val="4"/>
        </w:numPr>
        <w:spacing w:line="360" w:lineRule="auto"/>
        <w:ind w:firstLineChars="0"/>
        <w:rPr>
          <w:rFonts w:hAnsi="宋体"/>
          <w:b/>
          <w:sz w:val="24"/>
          <w:szCs w:val="24"/>
        </w:rPr>
      </w:pPr>
      <w:r>
        <w:rPr>
          <w:rFonts w:hint="eastAsia" w:hAnsi="宋体"/>
          <w:b/>
          <w:sz w:val="24"/>
          <w:szCs w:val="24"/>
        </w:rPr>
        <w:t>适用范围</w:t>
      </w:r>
    </w:p>
    <w:p>
      <w:pPr>
        <w:spacing w:line="360" w:lineRule="auto"/>
        <w:ind w:firstLine="480" w:firstLineChars="200"/>
        <w:rPr>
          <w:bCs/>
          <w:color w:val="000000"/>
          <w:sz w:val="24"/>
        </w:rPr>
      </w:pPr>
      <w:r>
        <w:rPr>
          <w:rFonts w:hint="eastAsia"/>
          <w:bCs/>
          <w:color w:val="000000"/>
          <w:sz w:val="24"/>
        </w:rPr>
        <w:t>本标准规定了</w:t>
      </w:r>
      <w:r>
        <w:rPr>
          <w:rFonts w:hint="eastAsia"/>
          <w:bCs/>
          <w:sz w:val="24"/>
          <w:szCs w:val="24"/>
        </w:rPr>
        <w:t>工作场所空气中油雾的测定 红外分光光度法的实验</w:t>
      </w:r>
      <w:r>
        <w:rPr>
          <w:rFonts w:hint="eastAsia"/>
          <w:bCs/>
          <w:color w:val="000000"/>
          <w:sz w:val="24"/>
        </w:rPr>
        <w:t>方法。</w:t>
      </w:r>
    </w:p>
    <w:p>
      <w:pPr>
        <w:spacing w:line="360" w:lineRule="auto"/>
        <w:ind w:firstLine="480" w:firstLineChars="200"/>
        <w:rPr>
          <w:bCs/>
          <w:color w:val="000000"/>
          <w:sz w:val="24"/>
        </w:rPr>
      </w:pPr>
      <w:r>
        <w:rPr>
          <w:rFonts w:hint="eastAsia"/>
          <w:bCs/>
          <w:color w:val="000000"/>
          <w:sz w:val="24"/>
        </w:rPr>
        <w:t>本标准适用于工作场所空气中油雾含量的测定。</w:t>
      </w:r>
    </w:p>
    <w:p>
      <w:pPr>
        <w:pStyle w:val="15"/>
        <w:spacing w:line="360" w:lineRule="auto"/>
        <w:ind w:left="360" w:firstLine="0" w:firstLineChars="0"/>
        <w:rPr>
          <w:rFonts w:hAnsi="宋体"/>
          <w:sz w:val="24"/>
          <w:szCs w:val="24"/>
        </w:rPr>
      </w:pPr>
    </w:p>
    <w:p>
      <w:pPr>
        <w:pStyle w:val="15"/>
        <w:numPr>
          <w:ilvl w:val="0"/>
          <w:numId w:val="4"/>
        </w:numPr>
        <w:spacing w:line="360" w:lineRule="auto"/>
        <w:ind w:firstLineChars="0"/>
        <w:rPr>
          <w:rFonts w:hAnsi="宋体"/>
          <w:b/>
          <w:sz w:val="24"/>
          <w:szCs w:val="24"/>
        </w:rPr>
      </w:pPr>
      <w:r>
        <w:rPr>
          <w:rFonts w:hint="eastAsia" w:hAnsi="宋体"/>
          <w:b/>
          <w:sz w:val="24"/>
          <w:szCs w:val="24"/>
        </w:rPr>
        <w:t>实验原理</w:t>
      </w:r>
    </w:p>
    <w:p>
      <w:pPr>
        <w:pStyle w:val="15"/>
        <w:spacing w:line="360" w:lineRule="auto"/>
        <w:ind w:firstLine="480"/>
        <w:rPr>
          <w:rFonts w:ascii="Times New Roman" w:hAnsi="Times New Roman" w:cs="Times New Roman"/>
          <w:bCs/>
          <w:sz w:val="24"/>
          <w:szCs w:val="24"/>
        </w:rPr>
      </w:pPr>
      <w:r>
        <w:rPr>
          <w:rFonts w:ascii="Times New Roman" w:hAnsi="Times New Roman" w:cs="Times New Roman"/>
          <w:bCs/>
          <w:sz w:val="24"/>
          <w:szCs w:val="24"/>
        </w:rPr>
        <w:t>空气中的油雾由聚四氟乙烯滤膜采集，滤膜剪碎后用四氯乙烯超声萃取，萃取液经红外测油仪测定，由波数分别为2930cm</w:t>
      </w:r>
      <w:r>
        <w:rPr>
          <w:rFonts w:ascii="Times New Roman" w:hAnsi="Times New Roman" w:cs="Times New Roman"/>
          <w:bCs/>
          <w:sz w:val="24"/>
          <w:szCs w:val="24"/>
          <w:vertAlign w:val="superscript"/>
        </w:rPr>
        <w:t>-1</w:t>
      </w:r>
      <w:r>
        <w:rPr>
          <w:rFonts w:ascii="Times New Roman" w:hAnsi="Times New Roman" w:cs="Times New Roman"/>
          <w:bCs/>
          <w:sz w:val="24"/>
          <w:szCs w:val="24"/>
        </w:rPr>
        <w:t>（CH</w:t>
      </w:r>
      <w:r>
        <w:rPr>
          <w:rFonts w:ascii="Times New Roman" w:hAnsi="Times New Roman" w:cs="Times New Roman"/>
          <w:bCs/>
          <w:sz w:val="24"/>
          <w:szCs w:val="24"/>
          <w:vertAlign w:val="subscript"/>
        </w:rPr>
        <w:t xml:space="preserve"> 2 </w:t>
      </w:r>
      <w:r>
        <w:rPr>
          <w:rFonts w:ascii="Times New Roman" w:hAnsi="Times New Roman" w:cs="Times New Roman"/>
          <w:bCs/>
          <w:sz w:val="24"/>
          <w:szCs w:val="24"/>
        </w:rPr>
        <w:t>基团中 C-H 键的伸缩振动）、2960 cm</w:t>
      </w:r>
      <w:r>
        <w:rPr>
          <w:rFonts w:ascii="Times New Roman" w:hAnsi="Times New Roman" w:cs="Times New Roman"/>
          <w:bCs/>
          <w:sz w:val="24"/>
          <w:szCs w:val="24"/>
          <w:vertAlign w:val="superscript"/>
        </w:rPr>
        <w:t>-1</w:t>
      </w:r>
      <w:r>
        <w:rPr>
          <w:rFonts w:ascii="Times New Roman" w:hAnsi="Times New Roman" w:cs="Times New Roman"/>
          <w:bCs/>
          <w:sz w:val="24"/>
          <w:szCs w:val="24"/>
        </w:rPr>
        <w:t>（CH</w:t>
      </w:r>
      <w:r>
        <w:rPr>
          <w:rFonts w:ascii="Times New Roman" w:hAnsi="Times New Roman" w:cs="Times New Roman"/>
          <w:bCs/>
          <w:sz w:val="24"/>
          <w:szCs w:val="24"/>
          <w:vertAlign w:val="subscript"/>
        </w:rPr>
        <w:t xml:space="preserve"> 3</w:t>
      </w:r>
      <w:r>
        <w:rPr>
          <w:rFonts w:ascii="Times New Roman" w:hAnsi="Times New Roman" w:cs="Times New Roman"/>
          <w:bCs/>
          <w:sz w:val="24"/>
          <w:szCs w:val="24"/>
        </w:rPr>
        <w:t xml:space="preserve"> 基团中 C-H 键的伸缩振动）和3030 cm</w:t>
      </w:r>
      <w:r>
        <w:rPr>
          <w:rFonts w:ascii="Times New Roman" w:hAnsi="Times New Roman" w:cs="Times New Roman"/>
          <w:bCs/>
          <w:sz w:val="24"/>
          <w:szCs w:val="24"/>
          <w:vertAlign w:val="superscript"/>
        </w:rPr>
        <w:t>-1</w:t>
      </w:r>
      <w:r>
        <w:rPr>
          <w:rFonts w:ascii="Times New Roman" w:hAnsi="Times New Roman" w:cs="Times New Roman"/>
          <w:bCs/>
          <w:sz w:val="24"/>
          <w:szCs w:val="24"/>
        </w:rPr>
        <w:t>（芳香环基团中 C-H 键的伸缩振动）谱带处的吸光度A</w:t>
      </w:r>
      <w:r>
        <w:rPr>
          <w:rFonts w:ascii="Times New Roman" w:hAnsi="Times New Roman" w:cs="Times New Roman"/>
          <w:bCs/>
          <w:sz w:val="24"/>
          <w:szCs w:val="24"/>
          <w:vertAlign w:val="subscript"/>
        </w:rPr>
        <w:t>2930</w:t>
      </w:r>
      <w:r>
        <w:rPr>
          <w:rFonts w:ascii="Times New Roman" w:hAnsi="Times New Roman" w:cs="Times New Roman"/>
          <w:bCs/>
          <w:sz w:val="24"/>
          <w:szCs w:val="24"/>
        </w:rPr>
        <w:t>、A</w:t>
      </w:r>
      <w:r>
        <w:rPr>
          <w:rFonts w:ascii="Times New Roman" w:hAnsi="Times New Roman" w:cs="Times New Roman"/>
          <w:bCs/>
          <w:sz w:val="24"/>
          <w:szCs w:val="24"/>
          <w:vertAlign w:val="subscript"/>
        </w:rPr>
        <w:t>2960</w:t>
      </w:r>
      <w:r>
        <w:rPr>
          <w:rFonts w:ascii="Times New Roman" w:hAnsi="Times New Roman" w:cs="Times New Roman"/>
          <w:bCs/>
          <w:sz w:val="24"/>
          <w:szCs w:val="24"/>
        </w:rPr>
        <w:t>和A</w:t>
      </w:r>
      <w:r>
        <w:rPr>
          <w:rFonts w:ascii="Times New Roman" w:hAnsi="Times New Roman" w:cs="Times New Roman"/>
          <w:bCs/>
          <w:sz w:val="24"/>
          <w:szCs w:val="24"/>
          <w:vertAlign w:val="subscript"/>
        </w:rPr>
        <w:t>3030</w:t>
      </w:r>
      <w:r>
        <w:rPr>
          <w:rFonts w:ascii="Times New Roman" w:hAnsi="Times New Roman" w:cs="Times New Roman"/>
          <w:bCs/>
          <w:sz w:val="24"/>
          <w:szCs w:val="24"/>
        </w:rPr>
        <w:t>计算得到工作场所中油雾的浓度。</w:t>
      </w:r>
    </w:p>
    <w:p>
      <w:pPr>
        <w:pStyle w:val="15"/>
        <w:spacing w:line="360" w:lineRule="auto"/>
        <w:ind w:firstLine="480"/>
        <w:rPr>
          <w:rFonts w:asciiTheme="minorEastAsia" w:hAnsiTheme="minorEastAsia"/>
          <w:sz w:val="24"/>
          <w:szCs w:val="24"/>
        </w:rPr>
      </w:pPr>
    </w:p>
    <w:p>
      <w:pPr>
        <w:pStyle w:val="21"/>
        <w:numPr>
          <w:ilvl w:val="0"/>
          <w:numId w:val="4"/>
        </w:numPr>
        <w:spacing w:line="360" w:lineRule="auto"/>
        <w:ind w:left="357" w:hanging="357" w:firstLineChars="0"/>
        <w:rPr>
          <w:rFonts w:hAnsi="宋体"/>
          <w:b/>
          <w:sz w:val="24"/>
          <w:szCs w:val="24"/>
        </w:rPr>
      </w:pPr>
      <w:r>
        <w:rPr>
          <w:rFonts w:hint="eastAsia" w:hAnsi="宋体"/>
          <w:b/>
          <w:sz w:val="24"/>
          <w:szCs w:val="24"/>
        </w:rPr>
        <w:t>实验样品</w:t>
      </w:r>
    </w:p>
    <w:p>
      <w:pPr>
        <w:spacing w:line="360" w:lineRule="auto"/>
        <w:ind w:firstLine="480" w:firstLineChars="200"/>
        <w:rPr>
          <w:rFonts w:ascii="Times New Roman" w:hAnsi="Times New Roman" w:eastAsia="宋体" w:cs="Times New Roman"/>
          <w:sz w:val="24"/>
          <w:szCs w:val="21"/>
        </w:rPr>
      </w:pPr>
      <w:r>
        <w:rPr>
          <w:rFonts w:ascii="Times New Roman" w:hAnsi="Times New Roman" w:cs="Times New Roman"/>
          <w:bCs/>
          <w:color w:val="000000"/>
          <w:sz w:val="24"/>
        </w:rPr>
        <w:t>在工作场所中，</w:t>
      </w:r>
      <w:r>
        <w:rPr>
          <w:rFonts w:ascii="Times New Roman" w:hAnsi="Times New Roman" w:eastAsia="宋体" w:cs="Times New Roman"/>
          <w:sz w:val="24"/>
          <w:szCs w:val="21"/>
        </w:rPr>
        <w:t>现场布点可依据GBZ 159-2004布置，采样高度与作业人员呼吸带一致，用装有双层滤膜的采样器采集2</w:t>
      </w:r>
      <w:r>
        <w:rPr>
          <w:rFonts w:ascii="Times New Roman" w:hAnsi="Times New Roman" w:cs="Times New Roman"/>
          <w:sz w:val="24"/>
          <w:szCs w:val="21"/>
        </w:rPr>
        <w:t>0</w:t>
      </w:r>
      <w:r>
        <w:rPr>
          <w:rFonts w:ascii="Times New Roman" w:hAnsi="Times New Roman" w:eastAsia="宋体" w:cs="Times New Roman"/>
          <w:sz w:val="24"/>
          <w:szCs w:val="21"/>
        </w:rPr>
        <w:t>0 L空气，之后用洁净镊子小心夹住滤膜边缘向里对折两次放入采样盒或采样袋内，此为待分析样品。运输过程中避光，若不能及时分析，将样品置于冰箱保存7天。同时做全程序空白对照。</w:t>
      </w:r>
    </w:p>
    <w:p>
      <w:pPr>
        <w:widowControl/>
        <w:spacing w:line="360" w:lineRule="auto"/>
        <w:ind w:firstLine="420" w:firstLineChars="200"/>
        <w:jc w:val="left"/>
      </w:pPr>
    </w:p>
    <w:p>
      <w:pPr>
        <w:pStyle w:val="21"/>
        <w:numPr>
          <w:ilvl w:val="0"/>
          <w:numId w:val="4"/>
        </w:numPr>
        <w:spacing w:line="360" w:lineRule="auto"/>
        <w:ind w:left="357" w:hanging="357" w:firstLineChars="0"/>
        <w:rPr>
          <w:b/>
          <w:bCs/>
          <w:sz w:val="24"/>
          <w:szCs w:val="24"/>
        </w:rPr>
      </w:pPr>
      <w:r>
        <w:rPr>
          <w:rFonts w:hint="eastAsia"/>
          <w:b/>
          <w:bCs/>
          <w:sz w:val="24"/>
          <w:szCs w:val="24"/>
        </w:rPr>
        <w:t>分析步骤</w:t>
      </w:r>
    </w:p>
    <w:p>
      <w:pPr>
        <w:pStyle w:val="2"/>
        <w:tabs>
          <w:tab w:val="left" w:pos="2425"/>
        </w:tabs>
        <w:spacing w:before="0" w:line="360" w:lineRule="auto"/>
        <w:ind w:left="0" w:firstLine="480" w:firstLineChars="200"/>
        <w:rPr>
          <w:rFonts w:ascii="Times New Roman" w:hAnsi="Times New Roman" w:cs="Times New Roman"/>
          <w:sz w:val="24"/>
          <w:szCs w:val="24"/>
        </w:rPr>
      </w:pPr>
      <w:r>
        <w:rPr>
          <w:rFonts w:ascii="Times New Roman" w:hAnsi="Times New Roman" w:cs="Times New Roman"/>
          <w:sz w:val="24"/>
          <w:szCs w:val="24"/>
        </w:rPr>
        <w:t>样品制备：将采样后的滤膜剪碎后置于比色管中，加入12 mL四氯乙烯盖上塞子在超声波清洗器中超声5 min，萃取液转移至25 mL比色管，再加入5 mL四氯乙烯超声2 min，将萃取液转移至上述25 mL比色管,重复一次。用少许四氯乙烯清洗比色管塞和管口。清洗液一并转移至上述25 mL比色管，加入四氯乙烯至刻度标线，静置密封待测，空白试样选取两张同一批次处理过的滤膜按上述步骤进行样品制备。</w:t>
      </w:r>
    </w:p>
    <w:p>
      <w:pPr>
        <w:widowControl/>
        <w:spacing w:line="360" w:lineRule="auto"/>
        <w:ind w:firstLine="480" w:firstLineChars="200"/>
        <w:jc w:val="left"/>
        <w:rPr>
          <w:rFonts w:ascii="Times New Roman" w:hAnsi="Times New Roman" w:eastAsia="宋体" w:cs="Times New Roman"/>
          <w:sz w:val="24"/>
          <w:szCs w:val="24"/>
        </w:rPr>
      </w:pPr>
      <w:r>
        <w:rPr>
          <w:rFonts w:ascii="Times New Roman" w:hAnsi="Times New Roman" w:cs="Times New Roman"/>
          <w:sz w:val="24"/>
          <w:szCs w:val="24"/>
        </w:rPr>
        <w:t>校正系数检验：</w:t>
      </w:r>
      <w:r>
        <w:rPr>
          <w:rFonts w:ascii="Times New Roman" w:hAnsi="Times New Roman" w:eastAsia="宋体" w:cs="Times New Roman"/>
          <w:sz w:val="24"/>
          <w:szCs w:val="24"/>
        </w:rPr>
        <w:t>每批样品均应进行校正系数的检验，根据所需浓度，取适量油雾标准油使用液，用四氯乙烯配置适当浓度的标准溶液，按照试样测定步骤进行测定，按照公式</w:t>
      </w:r>
      <w:r>
        <w:rPr>
          <w:rFonts w:ascii="Times New Roman" w:hAnsi="Times New Roman" w:eastAsia="宋体" w:cs="Times New Roman"/>
          <w:color w:val="000000"/>
          <w:kern w:val="0"/>
          <w:sz w:val="24"/>
          <w:szCs w:val="24"/>
        </w:rPr>
        <w:t>（1）</w:t>
      </w:r>
      <w:r>
        <w:rPr>
          <w:rFonts w:ascii="Times New Roman" w:hAnsi="Times New Roman" w:eastAsia="宋体" w:cs="Times New Roman"/>
          <w:sz w:val="24"/>
          <w:szCs w:val="24"/>
        </w:rPr>
        <w:t>计算测定浓度。如果测定值与标准值的相对误差在±10%以内，则校正系数可采用。否则需查找原因，重新测定校正系数并校准仪器，或者重新配制检验校正系数用的标准溶液。</w:t>
      </w:r>
    </w:p>
    <w:p>
      <w:pPr>
        <w:widowControl/>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试样测定：将制备好的试样置入 4 cm 石英比色皿中，盖上比色皿盖，以四氯乙烯溶液为参比，于 2930 cm</w:t>
      </w:r>
      <w:r>
        <w:rPr>
          <w:rFonts w:ascii="Times New Roman" w:hAnsi="Times New Roman" w:eastAsia="宋体" w:cs="Times New Roman"/>
          <w:sz w:val="24"/>
          <w:szCs w:val="24"/>
          <w:vertAlign w:val="superscript"/>
        </w:rPr>
        <w:t xml:space="preserve"> -1</w:t>
      </w:r>
      <w:r>
        <w:rPr>
          <w:rFonts w:ascii="Times New Roman" w:hAnsi="Times New Roman" w:eastAsia="宋体" w:cs="Times New Roman"/>
          <w:sz w:val="24"/>
          <w:szCs w:val="24"/>
        </w:rPr>
        <w:t xml:space="preserve"> 、2960 cm</w:t>
      </w:r>
      <w:r>
        <w:rPr>
          <w:rFonts w:ascii="Times New Roman" w:hAnsi="Times New Roman" w:eastAsia="宋体" w:cs="Times New Roman"/>
          <w:sz w:val="24"/>
          <w:szCs w:val="24"/>
          <w:vertAlign w:val="superscript"/>
        </w:rPr>
        <w:t xml:space="preserve"> -1</w:t>
      </w:r>
      <w:r>
        <w:rPr>
          <w:rFonts w:ascii="Times New Roman" w:hAnsi="Times New Roman" w:eastAsia="宋体" w:cs="Times New Roman"/>
          <w:sz w:val="24"/>
          <w:szCs w:val="24"/>
        </w:rPr>
        <w:t xml:space="preserve"> 和 3030 cm</w:t>
      </w:r>
      <w:r>
        <w:rPr>
          <w:rFonts w:ascii="Times New Roman" w:hAnsi="Times New Roman" w:eastAsia="宋体" w:cs="Times New Roman"/>
          <w:sz w:val="24"/>
          <w:szCs w:val="24"/>
          <w:vertAlign w:val="superscript"/>
        </w:rPr>
        <w:t xml:space="preserve"> -1</w:t>
      </w:r>
      <w:r>
        <w:rPr>
          <w:rFonts w:ascii="Times New Roman" w:hAnsi="Times New Roman" w:eastAsia="宋体" w:cs="Times New Roman"/>
          <w:sz w:val="24"/>
          <w:szCs w:val="24"/>
        </w:rPr>
        <w:t xml:space="preserve"> 处测定其吸光度 A </w:t>
      </w:r>
      <w:r>
        <w:rPr>
          <w:rFonts w:ascii="Times New Roman" w:hAnsi="Times New Roman" w:eastAsia="宋体" w:cs="Times New Roman"/>
          <w:sz w:val="24"/>
          <w:szCs w:val="24"/>
          <w:vertAlign w:val="subscript"/>
        </w:rPr>
        <w:t xml:space="preserve">2930 </w:t>
      </w:r>
      <w:r>
        <w:rPr>
          <w:rFonts w:ascii="Times New Roman" w:hAnsi="Times New Roman" w:eastAsia="宋体" w:cs="Times New Roman"/>
          <w:sz w:val="24"/>
          <w:szCs w:val="24"/>
        </w:rPr>
        <w:t xml:space="preserve">、A </w:t>
      </w:r>
      <w:r>
        <w:rPr>
          <w:rFonts w:ascii="Times New Roman" w:hAnsi="Times New Roman" w:eastAsia="宋体" w:cs="Times New Roman"/>
          <w:sz w:val="24"/>
          <w:szCs w:val="24"/>
          <w:vertAlign w:val="subscript"/>
        </w:rPr>
        <w:t>2960</w:t>
      </w:r>
      <w:r>
        <w:rPr>
          <w:rFonts w:ascii="Times New Roman" w:hAnsi="Times New Roman" w:eastAsia="宋体" w:cs="Times New Roman"/>
          <w:sz w:val="24"/>
          <w:szCs w:val="24"/>
        </w:rPr>
        <w:t xml:space="preserve"> 和 A </w:t>
      </w:r>
      <w:r>
        <w:rPr>
          <w:rFonts w:ascii="Times New Roman" w:hAnsi="Times New Roman" w:eastAsia="宋体" w:cs="Times New Roman"/>
          <w:sz w:val="24"/>
          <w:szCs w:val="24"/>
          <w:vertAlign w:val="subscript"/>
        </w:rPr>
        <w:t xml:space="preserve">3030 </w:t>
      </w:r>
      <w:r>
        <w:rPr>
          <w:rFonts w:ascii="Times New Roman" w:hAnsi="Times New Roman" w:eastAsia="宋体" w:cs="Times New Roman"/>
          <w:sz w:val="24"/>
          <w:szCs w:val="24"/>
        </w:rPr>
        <w:t xml:space="preserve">。       </w:t>
      </w:r>
    </w:p>
    <w:p/>
    <w:p>
      <w:pPr>
        <w:pStyle w:val="21"/>
        <w:numPr>
          <w:ilvl w:val="0"/>
          <w:numId w:val="4"/>
        </w:numPr>
        <w:spacing w:line="360" w:lineRule="auto"/>
        <w:ind w:left="357" w:hanging="357" w:firstLineChars="0"/>
        <w:rPr>
          <w:b/>
          <w:bCs/>
          <w:sz w:val="24"/>
          <w:szCs w:val="24"/>
        </w:rPr>
      </w:pPr>
      <w:r>
        <w:rPr>
          <w:rFonts w:hint="eastAsia"/>
          <w:b/>
          <w:bCs/>
          <w:sz w:val="24"/>
          <w:szCs w:val="24"/>
        </w:rPr>
        <w:t>结果计算</w:t>
      </w:r>
    </w:p>
    <w:p>
      <w:pPr>
        <w:widowControl/>
        <w:spacing w:line="360" w:lineRule="auto"/>
        <w:ind w:firstLine="480" w:firstLineChars="200"/>
        <w:jc w:val="left"/>
        <w:rPr>
          <w:rFonts w:ascii="Times New Roman" w:hAnsi="Times New Roman" w:eastAsia="宋体" w:cs="Times New Roman"/>
          <w:sz w:val="24"/>
          <w:szCs w:val="21"/>
        </w:rPr>
      </w:pPr>
      <w:r>
        <w:rPr>
          <w:rFonts w:ascii="Times New Roman" w:hAnsi="Times New Roman" w:eastAsia="宋体" w:cs="Times New Roman"/>
          <w:sz w:val="24"/>
          <w:szCs w:val="21"/>
        </w:rPr>
        <w:t>样品中油雾浓度计算公式（2）计算：</w:t>
      </w:r>
    </w:p>
    <w:p>
      <w:pPr>
        <w:widowControl/>
        <w:spacing w:line="360" w:lineRule="auto"/>
        <w:ind w:firstLine="480" w:firstLineChars="200"/>
        <w:jc w:val="left"/>
        <w:rPr>
          <w:rFonts w:ascii="Times New Roman" w:hAnsi="Calibri" w:eastAsia="宋体" w:cs="Times New Roman"/>
          <w:sz w:val="24"/>
          <w:szCs w:val="21"/>
        </w:rPr>
      </w:pPr>
      <w:r>
        <w:rPr>
          <w:rFonts w:ascii="Times New Roman" w:hAnsi="Calibri" w:eastAsia="宋体" w:cs="Times New Roman"/>
          <w:sz w:val="24"/>
          <w:szCs w:val="21"/>
        </w:rPr>
        <w:object>
          <v:shape id="_x0000_i1025" o:spt="75" type="#_x0000_t75" style="height:34.35pt;width:232.7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ascii="Times New Roman" w:hAnsi="Calibri" w:eastAsia="宋体" w:cs="Times New Roman"/>
          <w:sz w:val="24"/>
          <w:szCs w:val="21"/>
        </w:rPr>
        <w:t xml:space="preserve"> ··········· ···········   (</w:t>
      </w:r>
      <w:r>
        <w:rPr>
          <w:rFonts w:hint="eastAsia" w:ascii="Times New Roman" w:hAnsi="Calibri" w:eastAsia="宋体" w:cs="Times New Roman"/>
          <w:sz w:val="24"/>
          <w:szCs w:val="21"/>
        </w:rPr>
        <w:t>2</w:t>
      </w:r>
      <w:r>
        <w:rPr>
          <w:rFonts w:ascii="Times New Roman" w:hAnsi="Calibri" w:eastAsia="宋体" w:cs="Times New Roman"/>
          <w:sz w:val="24"/>
          <w:szCs w:val="21"/>
        </w:rPr>
        <w:t xml:space="preserve">)   </w:t>
      </w:r>
    </w:p>
    <w:p>
      <w:pPr>
        <w:widowControl/>
        <w:spacing w:line="360" w:lineRule="auto"/>
        <w:ind w:firstLine="480" w:firstLineChars="200"/>
        <w:jc w:val="left"/>
        <w:rPr>
          <w:rFonts w:ascii="Times New Roman" w:hAnsi="Calibri" w:eastAsia="宋体" w:cs="Times New Roman"/>
          <w:sz w:val="24"/>
          <w:szCs w:val="21"/>
        </w:rPr>
      </w:pPr>
      <w:r>
        <w:rPr>
          <w:rFonts w:ascii="Times New Roman" w:hAnsi="Calibri" w:eastAsia="宋体" w:cs="Times New Roman"/>
          <w:sz w:val="24"/>
          <w:szCs w:val="21"/>
        </w:rPr>
        <w:t>工作场所空气中油雾浓度按公式（</w:t>
      </w:r>
      <w:r>
        <w:rPr>
          <w:rFonts w:hint="eastAsia" w:ascii="Times New Roman" w:hAnsi="Calibri" w:eastAsia="宋体" w:cs="Times New Roman"/>
          <w:sz w:val="24"/>
          <w:szCs w:val="21"/>
        </w:rPr>
        <w:t>3</w:t>
      </w:r>
      <w:r>
        <w:rPr>
          <w:rFonts w:ascii="Times New Roman" w:hAnsi="Calibri" w:eastAsia="宋体" w:cs="Times New Roman"/>
          <w:sz w:val="24"/>
          <w:szCs w:val="21"/>
        </w:rPr>
        <w:t>）计算：</w:t>
      </w:r>
    </w:p>
    <w:p>
      <w:pPr>
        <w:widowControl/>
        <w:spacing w:line="360" w:lineRule="auto"/>
        <w:ind w:firstLine="480" w:firstLineChars="200"/>
        <w:jc w:val="left"/>
        <w:rPr>
          <w:rFonts w:ascii="Times New Roman" w:hAnsi="Calibri" w:eastAsia="宋体" w:cs="Times New Roman"/>
          <w:sz w:val="24"/>
          <w:szCs w:val="21"/>
        </w:rPr>
      </w:pPr>
      <w:r>
        <w:rPr>
          <w:rFonts w:ascii="Times New Roman" w:hAnsi="Calibri" w:eastAsia="宋体" w:cs="Times New Roman"/>
          <w:sz w:val="24"/>
          <w:szCs w:val="21"/>
        </w:rPr>
        <w:object>
          <v:shape id="_x0000_i1026" o:spt="75" type="#_x0000_t75" style="height:31pt;width:45.2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ascii="Times New Roman" w:hAnsi="Calibri" w:eastAsia="宋体" w:cs="Times New Roman"/>
          <w:sz w:val="24"/>
          <w:szCs w:val="21"/>
        </w:rPr>
        <w:t xml:space="preserve">  ························· ···························································  (</w:t>
      </w:r>
      <w:r>
        <w:rPr>
          <w:rFonts w:hint="eastAsia" w:ascii="Times New Roman" w:hAnsi="Calibri" w:eastAsia="宋体" w:cs="Times New Roman"/>
          <w:sz w:val="24"/>
          <w:szCs w:val="21"/>
        </w:rPr>
        <w:t>3</w:t>
      </w:r>
      <w:r>
        <w:rPr>
          <w:rFonts w:ascii="Times New Roman" w:hAnsi="Calibri" w:eastAsia="宋体" w:cs="Times New Roman"/>
          <w:sz w:val="24"/>
          <w:szCs w:val="21"/>
        </w:rPr>
        <w:t xml:space="preserve">)  </w:t>
      </w:r>
    </w:p>
    <w:p>
      <w:pPr>
        <w:widowControl/>
        <w:spacing w:line="360" w:lineRule="auto"/>
        <w:ind w:firstLine="480" w:firstLineChars="200"/>
        <w:jc w:val="left"/>
        <w:rPr>
          <w:rFonts w:ascii="Times New Roman" w:hAnsi="Times New Roman" w:eastAsia="宋体" w:cs="Times New Roman"/>
          <w:sz w:val="24"/>
          <w:szCs w:val="21"/>
        </w:rPr>
      </w:pPr>
      <w:r>
        <w:rPr>
          <w:rFonts w:ascii="Times New Roman" w:hAnsi="Times New Roman" w:eastAsia="宋体" w:cs="Times New Roman"/>
          <w:sz w:val="24"/>
          <w:szCs w:val="21"/>
        </w:rPr>
        <w:t>式中：</w:t>
      </w:r>
    </w:p>
    <w:p>
      <w:pPr>
        <w:widowControl/>
        <w:spacing w:line="360" w:lineRule="auto"/>
        <w:ind w:firstLine="480" w:firstLineChars="200"/>
        <w:jc w:val="left"/>
        <w:rPr>
          <w:rFonts w:ascii="Times New Roman" w:hAnsi="Times New Roman" w:eastAsia="宋体" w:cs="Times New Roman"/>
          <w:sz w:val="24"/>
          <w:szCs w:val="21"/>
        </w:rPr>
      </w:pPr>
      <w:r>
        <w:rPr>
          <w:rFonts w:ascii="Times New Roman" w:hAnsi="Times New Roman" w:eastAsia="宋体" w:cs="Times New Roman"/>
          <w:sz w:val="24"/>
          <w:szCs w:val="21"/>
        </w:rPr>
        <w:t xml:space="preserve">c —工作场所中油雾的浓度，mg/m3；   </w:t>
      </w:r>
    </w:p>
    <w:p>
      <w:pPr>
        <w:widowControl/>
        <w:spacing w:line="360" w:lineRule="auto"/>
        <w:ind w:firstLine="480" w:firstLineChars="200"/>
        <w:jc w:val="left"/>
        <w:rPr>
          <w:rFonts w:ascii="Times New Roman" w:hAnsi="Times New Roman" w:eastAsia="宋体" w:cs="Times New Roman"/>
          <w:sz w:val="24"/>
          <w:szCs w:val="21"/>
        </w:rPr>
      </w:pPr>
      <w:r>
        <w:rPr>
          <w:rFonts w:ascii="Times New Roman" w:hAnsi="Times New Roman" w:eastAsia="宋体" w:cs="Times New Roman"/>
          <w:sz w:val="24"/>
          <w:szCs w:val="21"/>
        </w:rPr>
        <w:t>ρ —样品萃取液中油雾的质量浓度，mg/L；</w:t>
      </w:r>
    </w:p>
    <w:p>
      <w:pPr>
        <w:widowControl/>
        <w:spacing w:line="360" w:lineRule="auto"/>
        <w:ind w:firstLine="480" w:firstLineChars="200"/>
        <w:jc w:val="left"/>
        <w:rPr>
          <w:rFonts w:ascii="Times New Roman" w:hAnsi="Times New Roman" w:eastAsia="宋体" w:cs="Times New Roman"/>
          <w:sz w:val="24"/>
          <w:szCs w:val="21"/>
        </w:rPr>
      </w:pPr>
      <w:r>
        <w:rPr>
          <w:rFonts w:ascii="Times New Roman" w:hAnsi="Times New Roman" w:eastAsia="宋体" w:cs="Times New Roman"/>
          <w:sz w:val="24"/>
          <w:szCs w:val="21"/>
        </w:rPr>
        <w:t>ρ</w:t>
      </w:r>
      <w:r>
        <w:rPr>
          <w:rFonts w:ascii="Times New Roman" w:hAnsi="Times New Roman" w:eastAsia="宋体" w:cs="Times New Roman"/>
          <w:sz w:val="24"/>
          <w:szCs w:val="21"/>
          <w:vertAlign w:val="subscript"/>
        </w:rPr>
        <w:t>0</w:t>
      </w:r>
      <w:r>
        <w:rPr>
          <w:rFonts w:ascii="Times New Roman" w:hAnsi="Times New Roman" w:eastAsia="宋体" w:cs="Times New Roman"/>
          <w:sz w:val="24"/>
          <w:szCs w:val="21"/>
        </w:rPr>
        <w:t xml:space="preserve"> —空白样品萃取液中油雾的质量浓度，mg/L；</w:t>
      </w:r>
    </w:p>
    <w:p>
      <w:pPr>
        <w:widowControl/>
        <w:spacing w:line="360" w:lineRule="auto"/>
        <w:ind w:firstLine="480" w:firstLineChars="200"/>
        <w:jc w:val="left"/>
        <w:rPr>
          <w:rFonts w:ascii="Times New Roman" w:hAnsi="Times New Roman" w:eastAsia="宋体" w:cs="Times New Roman"/>
          <w:sz w:val="24"/>
          <w:szCs w:val="21"/>
        </w:rPr>
      </w:pPr>
      <w:r>
        <w:rPr>
          <w:rFonts w:ascii="Times New Roman" w:hAnsi="Times New Roman" w:eastAsia="宋体" w:cs="Times New Roman"/>
          <w:sz w:val="24"/>
          <w:szCs w:val="21"/>
        </w:rPr>
        <w:t>D —样品稀释倍数；</w:t>
      </w:r>
    </w:p>
    <w:p>
      <w:pPr>
        <w:widowControl/>
        <w:spacing w:line="360" w:lineRule="auto"/>
        <w:ind w:firstLine="480" w:firstLineChars="200"/>
        <w:jc w:val="left"/>
        <w:rPr>
          <w:rFonts w:ascii="Times New Roman" w:hAnsi="Times New Roman" w:eastAsia="宋体" w:cs="Times New Roman"/>
          <w:sz w:val="24"/>
          <w:szCs w:val="21"/>
        </w:rPr>
      </w:pPr>
      <w:r>
        <w:rPr>
          <w:rFonts w:ascii="Times New Roman" w:hAnsi="Times New Roman" w:eastAsia="宋体" w:cs="Times New Roman"/>
          <w:sz w:val="24"/>
          <w:szCs w:val="21"/>
        </w:rPr>
        <w:t>V—萃取液体积，mL；</w:t>
      </w:r>
    </w:p>
    <w:p>
      <w:pPr>
        <w:widowControl/>
        <w:spacing w:line="360" w:lineRule="auto"/>
        <w:ind w:firstLine="480" w:firstLineChars="200"/>
        <w:jc w:val="left"/>
        <w:rPr>
          <w:rFonts w:ascii="Times New Roman" w:hAnsi="Times New Roman" w:eastAsia="宋体" w:cs="Times New Roman"/>
          <w:sz w:val="24"/>
          <w:szCs w:val="21"/>
        </w:rPr>
      </w:pPr>
      <w:r>
        <w:rPr>
          <w:rFonts w:ascii="Times New Roman" w:hAnsi="Times New Roman" w:eastAsia="宋体" w:cs="Times New Roman"/>
          <w:sz w:val="24"/>
          <w:szCs w:val="21"/>
        </w:rPr>
        <w:t>V</w:t>
      </w:r>
      <w:r>
        <w:rPr>
          <w:rFonts w:ascii="Times New Roman" w:hAnsi="Times New Roman" w:eastAsia="宋体" w:cs="Times New Roman"/>
          <w:sz w:val="24"/>
          <w:szCs w:val="21"/>
          <w:vertAlign w:val="subscript"/>
        </w:rPr>
        <w:t xml:space="preserve">nd </w:t>
      </w:r>
      <w:r>
        <w:rPr>
          <w:rFonts w:ascii="Times New Roman" w:hAnsi="Times New Roman" w:eastAsia="宋体" w:cs="Times New Roman"/>
          <w:sz w:val="24"/>
          <w:szCs w:val="21"/>
        </w:rPr>
        <w:t>—标准状态下采样体积，L。</w:t>
      </w:r>
    </w:p>
    <w:p>
      <w:pPr>
        <w:widowControl/>
        <w:spacing w:line="360" w:lineRule="auto"/>
        <w:jc w:val="left"/>
        <w:rPr>
          <w:bCs/>
          <w:color w:val="000000"/>
          <w:sz w:val="24"/>
        </w:rPr>
      </w:pPr>
    </w:p>
    <w:p>
      <w:pPr>
        <w:pStyle w:val="21"/>
        <w:numPr>
          <w:ilvl w:val="0"/>
          <w:numId w:val="4"/>
        </w:numPr>
        <w:spacing w:line="360" w:lineRule="auto"/>
        <w:ind w:left="357" w:hanging="357" w:firstLineChars="0"/>
        <w:rPr>
          <w:b/>
          <w:bCs/>
          <w:sz w:val="24"/>
          <w:szCs w:val="24"/>
        </w:rPr>
      </w:pPr>
      <w:r>
        <w:rPr>
          <w:rFonts w:hint="eastAsia"/>
          <w:b/>
          <w:bCs/>
          <w:sz w:val="24"/>
          <w:szCs w:val="24"/>
        </w:rPr>
        <w:t>标准文献参考</w:t>
      </w:r>
    </w:p>
    <w:p>
      <w:pPr>
        <w:pStyle w:val="21"/>
        <w:spacing w:line="360" w:lineRule="auto"/>
        <w:ind w:firstLine="480"/>
        <w:rPr>
          <w:rFonts w:ascii="Times New Roman" w:hAnsi="Times New Roman" w:eastAsia="宋体" w:cs="Times New Roman"/>
          <w:sz w:val="24"/>
          <w:szCs w:val="21"/>
        </w:rPr>
      </w:pPr>
      <w:r>
        <w:rPr>
          <w:rFonts w:ascii="Times New Roman" w:hAnsi="Times New Roman" w:eastAsia="宋体" w:cs="Times New Roman"/>
          <w:sz w:val="24"/>
          <w:szCs w:val="21"/>
        </w:rPr>
        <w:t>GBZ 159-2004 工作场所中有害物质监测的采样规范</w:t>
      </w:r>
    </w:p>
    <w:p>
      <w:pPr>
        <w:pStyle w:val="21"/>
        <w:spacing w:line="360" w:lineRule="auto"/>
        <w:ind w:firstLine="480"/>
        <w:rPr>
          <w:rFonts w:ascii="Times New Roman" w:hAnsi="Times New Roman" w:eastAsia="宋体" w:cs="Times New Roman"/>
          <w:sz w:val="24"/>
          <w:szCs w:val="21"/>
        </w:rPr>
      </w:pPr>
      <w:r>
        <w:rPr>
          <w:rFonts w:ascii="Times New Roman" w:hAnsi="Times New Roman" w:eastAsia="宋体" w:cs="Times New Roman"/>
          <w:sz w:val="24"/>
          <w:szCs w:val="21"/>
        </w:rPr>
        <w:t>HJ 637-2018 水质 石油类和动植物油类的测定 红外分光光度法</w:t>
      </w:r>
    </w:p>
    <w:p>
      <w:pPr>
        <w:widowControl/>
        <w:spacing w:line="360" w:lineRule="auto"/>
        <w:ind w:firstLine="480" w:firstLineChars="200"/>
        <w:jc w:val="left"/>
        <w:rPr>
          <w:rFonts w:ascii="Times New Roman" w:hAnsi="Times New Roman" w:cs="Times New Roman"/>
          <w:bCs/>
          <w:color w:val="000000"/>
          <w:sz w:val="24"/>
        </w:rPr>
      </w:pPr>
      <w:r>
        <w:rPr>
          <w:rFonts w:ascii="Times New Roman" w:hAnsi="Times New Roman" w:cs="Times New Roman"/>
          <w:bCs/>
          <w:color w:val="000000"/>
          <w:sz w:val="24"/>
        </w:rPr>
        <w:t>GB/T 23574-2009 金属切削机床 油雾浓度的测定</w:t>
      </w:r>
    </w:p>
    <w:p>
      <w:pPr>
        <w:widowControl/>
        <w:spacing w:line="360" w:lineRule="auto"/>
        <w:ind w:left="719" w:leftChars="228" w:hanging="240" w:hangingChars="100"/>
        <w:jc w:val="left"/>
        <w:rPr>
          <w:rFonts w:ascii="Times New Roman" w:hAnsi="Times New Roman" w:cs="Times New Roman"/>
          <w:bCs/>
          <w:color w:val="000000"/>
          <w:sz w:val="24"/>
        </w:rPr>
      </w:pPr>
      <w:r>
        <w:rPr>
          <w:rFonts w:ascii="Times New Roman" w:hAnsi="Times New Roman" w:cs="Times New Roman"/>
          <w:bCs/>
          <w:color w:val="000000"/>
          <w:sz w:val="24"/>
        </w:rPr>
        <w:t>NIOSH 5026 National Institute for Occupational Safety and Health (NIOSH):Method 5026:Oil Mist,Mineral,1994.</w:t>
      </w:r>
    </w:p>
    <w:p>
      <w:pPr>
        <w:widowControl/>
        <w:spacing w:line="360" w:lineRule="auto"/>
        <w:ind w:left="719" w:leftChars="228" w:hanging="240" w:hangingChars="100"/>
        <w:jc w:val="left"/>
        <w:rPr>
          <w:rFonts w:ascii="Times New Roman" w:hAnsi="Times New Roman" w:cs="Times New Roman"/>
          <w:bCs/>
          <w:color w:val="000000"/>
          <w:sz w:val="24"/>
        </w:rPr>
      </w:pPr>
    </w:p>
    <w:p>
      <w:pPr>
        <w:widowControl/>
        <w:spacing w:line="360" w:lineRule="auto"/>
        <w:ind w:left="719" w:leftChars="228" w:hanging="240" w:hangingChars="100"/>
        <w:jc w:val="left"/>
        <w:rPr>
          <w:rFonts w:ascii="Times New Roman" w:hAnsi="Times New Roman" w:cs="Times New Roman"/>
          <w:bCs/>
          <w:color w:val="000000"/>
          <w:sz w:val="24"/>
        </w:rPr>
      </w:pPr>
    </w:p>
    <w:p>
      <w:pPr>
        <w:widowControl/>
        <w:spacing w:line="360" w:lineRule="auto"/>
        <w:ind w:left="719" w:leftChars="228" w:hanging="240" w:hangingChars="100"/>
        <w:jc w:val="left"/>
        <w:rPr>
          <w:rFonts w:ascii="Times New Roman" w:hAnsi="Times New Roman" w:cs="Times New Roman"/>
          <w:bCs/>
          <w:color w:val="000000"/>
          <w:sz w:val="24"/>
        </w:rPr>
      </w:pPr>
    </w:p>
    <w:p>
      <w:pPr>
        <w:pStyle w:val="15"/>
        <w:numPr>
          <w:ilvl w:val="0"/>
          <w:numId w:val="2"/>
        </w:numPr>
        <w:spacing w:line="360" w:lineRule="auto"/>
        <w:ind w:firstLineChars="0"/>
        <w:rPr>
          <w:rFonts w:ascii="Times New Roman" w:hAnsi="Times New Roman"/>
          <w:b/>
          <w:sz w:val="28"/>
          <w:szCs w:val="28"/>
        </w:rPr>
      </w:pPr>
      <w:r>
        <w:rPr>
          <w:rFonts w:hint="eastAsia" w:ascii="Times New Roman" w:hAnsi="Times New Roman"/>
          <w:b/>
          <w:sz w:val="28"/>
          <w:szCs w:val="28"/>
        </w:rPr>
        <w:t>实验开展和结果验证</w:t>
      </w:r>
    </w:p>
    <w:p>
      <w:pPr>
        <w:pStyle w:val="22"/>
        <w:numPr>
          <w:ilvl w:val="0"/>
          <w:numId w:val="5"/>
        </w:numPr>
        <w:spacing w:line="360" w:lineRule="auto"/>
        <w:ind w:left="357" w:hanging="357"/>
        <w:jc w:val="both"/>
        <w:rPr>
          <w:rFonts w:asciiTheme="minorEastAsia" w:hAnsiTheme="minorEastAsia" w:eastAsiaTheme="minorEastAsia"/>
          <w:b/>
          <w:spacing w:val="-11"/>
          <w:sz w:val="24"/>
          <w:szCs w:val="24"/>
        </w:rPr>
      </w:pPr>
      <w:r>
        <w:rPr>
          <w:rFonts w:hint="eastAsia" w:asciiTheme="minorEastAsia" w:hAnsiTheme="minorEastAsia" w:eastAsiaTheme="minorEastAsia"/>
          <w:b/>
          <w:spacing w:val="-11"/>
          <w:sz w:val="24"/>
          <w:szCs w:val="24"/>
          <w:lang w:val="en-US"/>
        </w:rPr>
        <w:t>校正系数的检验与线性</w:t>
      </w:r>
    </w:p>
    <w:p>
      <w:pPr>
        <w:spacing w:line="360" w:lineRule="auto"/>
        <w:ind w:firstLine="480" w:firstLineChars="200"/>
        <w:rPr>
          <w:rFonts w:ascii="Times New Roman" w:hAnsi="Times New Roman" w:eastAsia="宋体" w:cs="Times New Roman"/>
          <w:sz w:val="24"/>
          <w:szCs w:val="18"/>
        </w:rPr>
      </w:pPr>
      <w:r>
        <w:rPr>
          <w:rFonts w:ascii="Times New Roman" w:hAnsi="Times New Roman" w:eastAsia="宋体" w:cs="Times New Roman"/>
          <w:sz w:val="24"/>
          <w:szCs w:val="21"/>
        </w:rPr>
        <w:t>正十六烷-异辛烷-苯，按65:25:10（v/v）的比例配置成的混合烃，是目前一种具有广泛代表性的石油油类标准物质。本实验采用有证标准溶液（</w:t>
      </w:r>
      <w:r>
        <w:rPr>
          <w:rFonts w:ascii="Times New Roman" w:hAnsi="Times New Roman" w:eastAsia="宋体" w:cs="Times New Roman"/>
          <w:color w:val="000000" w:themeColor="text1"/>
          <w:sz w:val="24"/>
          <w:szCs w:val="21"/>
        </w:rPr>
        <w:t>BW901424-1000-SLYX</w:t>
      </w:r>
      <w:r>
        <w:rPr>
          <w:rFonts w:ascii="Times New Roman" w:hAnsi="Times New Roman" w:cs="Times New Roman"/>
          <w:color w:val="000000" w:themeColor="text1"/>
          <w:sz w:val="24"/>
          <w:szCs w:val="21"/>
        </w:rPr>
        <w:t>,</w:t>
      </w:r>
      <w:r>
        <w:rPr>
          <w:rFonts w:ascii="Times New Roman" w:hAnsi="Times New Roman" w:eastAsia="宋体" w:cs="Times New Roman"/>
          <w:color w:val="000000" w:themeColor="text1"/>
          <w:sz w:val="24"/>
          <w:szCs w:val="21"/>
        </w:rPr>
        <w:t>A1812247坛墨质检</w:t>
      </w:r>
      <w:r>
        <w:rPr>
          <w:rFonts w:ascii="Times New Roman" w:hAnsi="Times New Roman" w:eastAsia="宋体" w:cs="Times New Roman"/>
          <w:sz w:val="24"/>
          <w:szCs w:val="21"/>
        </w:rPr>
        <w:t>）浓度</w:t>
      </w:r>
      <w:r>
        <w:rPr>
          <w:rFonts w:ascii="Times New Roman" w:hAnsi="Times New Roman" w:eastAsia="宋体" w:cs="Times New Roman"/>
          <w:i/>
          <w:iCs/>
          <w:sz w:val="24"/>
          <w:szCs w:val="21"/>
        </w:rPr>
        <w:t>ρ =</w:t>
      </w:r>
      <w:r>
        <w:rPr>
          <w:rFonts w:ascii="Times New Roman" w:hAnsi="Times New Roman" w:eastAsia="宋体" w:cs="Times New Roman"/>
          <w:sz w:val="24"/>
          <w:szCs w:val="21"/>
        </w:rPr>
        <w:t>1000 mg/L，经四氯乙烯稀释配置0.00</w:t>
      </w:r>
      <w:r>
        <w:rPr>
          <w:rFonts w:ascii="Times New Roman" w:hAnsi="Times New Roman" w:cs="Times New Roman"/>
          <w:sz w:val="24"/>
          <w:szCs w:val="21"/>
        </w:rPr>
        <w:t>、</w:t>
      </w:r>
      <w:r>
        <w:rPr>
          <w:rFonts w:ascii="Times New Roman" w:hAnsi="Times New Roman" w:eastAsia="宋体" w:cs="Times New Roman"/>
          <w:sz w:val="24"/>
          <w:szCs w:val="21"/>
        </w:rPr>
        <w:t>1.00</w:t>
      </w:r>
      <w:r>
        <w:rPr>
          <w:rFonts w:ascii="Times New Roman" w:hAnsi="Times New Roman" w:cs="Times New Roman"/>
          <w:sz w:val="24"/>
          <w:szCs w:val="21"/>
        </w:rPr>
        <w:t>、</w:t>
      </w:r>
      <w:r>
        <w:rPr>
          <w:rFonts w:ascii="Times New Roman" w:hAnsi="Times New Roman" w:eastAsia="宋体" w:cs="Times New Roman"/>
          <w:sz w:val="24"/>
          <w:szCs w:val="21"/>
        </w:rPr>
        <w:t>2.00</w:t>
      </w:r>
      <w:r>
        <w:rPr>
          <w:rFonts w:ascii="Times New Roman" w:hAnsi="Times New Roman" w:cs="Times New Roman"/>
          <w:sz w:val="24"/>
          <w:szCs w:val="21"/>
        </w:rPr>
        <w:t>、</w:t>
      </w:r>
      <w:r>
        <w:rPr>
          <w:rFonts w:ascii="Times New Roman" w:hAnsi="Times New Roman" w:eastAsia="宋体" w:cs="Times New Roman"/>
          <w:sz w:val="24"/>
          <w:szCs w:val="21"/>
        </w:rPr>
        <w:t>5.00</w:t>
      </w:r>
      <w:r>
        <w:rPr>
          <w:rFonts w:ascii="Times New Roman" w:hAnsi="Times New Roman" w:cs="Times New Roman"/>
          <w:sz w:val="24"/>
          <w:szCs w:val="21"/>
        </w:rPr>
        <w:t>、</w:t>
      </w:r>
      <w:r>
        <w:rPr>
          <w:rFonts w:ascii="Times New Roman" w:hAnsi="Times New Roman" w:eastAsia="宋体" w:cs="Times New Roman"/>
          <w:sz w:val="24"/>
          <w:szCs w:val="21"/>
        </w:rPr>
        <w:t>10.0</w:t>
      </w:r>
      <w:r>
        <w:rPr>
          <w:rFonts w:ascii="Times New Roman" w:hAnsi="Times New Roman" w:cs="Times New Roman"/>
          <w:sz w:val="24"/>
          <w:szCs w:val="21"/>
        </w:rPr>
        <w:t>0、</w:t>
      </w:r>
      <w:r>
        <w:rPr>
          <w:rFonts w:ascii="Times New Roman" w:hAnsi="Times New Roman" w:eastAsia="宋体" w:cs="Times New Roman"/>
          <w:sz w:val="24"/>
          <w:szCs w:val="21"/>
        </w:rPr>
        <w:t>20.0</w:t>
      </w:r>
      <w:r>
        <w:rPr>
          <w:rFonts w:ascii="Times New Roman" w:hAnsi="Times New Roman" w:cs="Times New Roman"/>
          <w:sz w:val="24"/>
          <w:szCs w:val="21"/>
        </w:rPr>
        <w:t>0、</w:t>
      </w:r>
      <w:r>
        <w:rPr>
          <w:rFonts w:ascii="Times New Roman" w:hAnsi="Times New Roman" w:eastAsia="宋体" w:cs="Times New Roman"/>
          <w:sz w:val="24"/>
          <w:szCs w:val="21"/>
        </w:rPr>
        <w:t>50.0</w:t>
      </w:r>
      <w:r>
        <w:rPr>
          <w:rFonts w:ascii="Times New Roman" w:hAnsi="Times New Roman" w:cs="Times New Roman"/>
          <w:sz w:val="24"/>
          <w:szCs w:val="21"/>
        </w:rPr>
        <w:t>0、</w:t>
      </w:r>
      <w:r>
        <w:rPr>
          <w:rFonts w:ascii="Times New Roman" w:hAnsi="Times New Roman" w:eastAsia="宋体" w:cs="Times New Roman"/>
          <w:sz w:val="24"/>
          <w:szCs w:val="21"/>
        </w:rPr>
        <w:t>75.0</w:t>
      </w:r>
      <w:r>
        <w:rPr>
          <w:rFonts w:ascii="Times New Roman" w:hAnsi="Times New Roman" w:cs="Times New Roman"/>
          <w:sz w:val="24"/>
          <w:szCs w:val="21"/>
        </w:rPr>
        <w:t>0</w:t>
      </w:r>
      <w:r>
        <w:rPr>
          <w:rFonts w:ascii="Times New Roman" w:hAnsi="Times New Roman" w:eastAsia="宋体" w:cs="Times New Roman"/>
          <w:sz w:val="24"/>
          <w:szCs w:val="21"/>
        </w:rPr>
        <w:t>、100</w:t>
      </w:r>
      <w:r>
        <w:rPr>
          <w:rFonts w:ascii="Times New Roman" w:hAnsi="Times New Roman" w:cs="Times New Roman"/>
          <w:sz w:val="24"/>
          <w:szCs w:val="21"/>
        </w:rPr>
        <w:t>.00</w:t>
      </w:r>
      <w:r>
        <w:rPr>
          <w:rFonts w:ascii="Times New Roman" w:hAnsi="Times New Roman" w:eastAsia="宋体" w:cs="Times New Roman"/>
          <w:sz w:val="24"/>
          <w:szCs w:val="21"/>
        </w:rPr>
        <w:t xml:space="preserve"> mg/L的标准系列溶液。测定结果如表1，测定值与标准值的相对误差在±10%以内，则仪器校正系数X、Y、Z、F可采用。以标准值为横坐标x轴，测定值为纵坐标y进行数据回归得到线性方程，y=0.992</w:t>
      </w:r>
      <w:r>
        <w:rPr>
          <w:rFonts w:ascii="Times New Roman" w:hAnsi="Times New Roman" w:cs="Times New Roman"/>
          <w:sz w:val="24"/>
          <w:szCs w:val="21"/>
        </w:rPr>
        <w:t xml:space="preserve">7 </w:t>
      </w:r>
      <w:r>
        <w:rPr>
          <w:rFonts w:ascii="Times New Roman" w:hAnsi="Times New Roman" w:eastAsia="宋体" w:cs="Times New Roman"/>
          <w:sz w:val="24"/>
          <w:szCs w:val="21"/>
        </w:rPr>
        <w:t>x+0.33</w:t>
      </w:r>
      <w:r>
        <w:rPr>
          <w:rFonts w:ascii="Times New Roman" w:hAnsi="Times New Roman" w:cs="Times New Roman"/>
          <w:sz w:val="24"/>
          <w:szCs w:val="21"/>
        </w:rPr>
        <w:t>47，</w:t>
      </w:r>
      <w:r>
        <w:rPr>
          <w:rFonts w:ascii="Times New Roman" w:hAnsi="Times New Roman" w:eastAsia="宋体" w:cs="Times New Roman"/>
          <w:sz w:val="24"/>
          <w:szCs w:val="21"/>
        </w:rPr>
        <w:t>相关系数</w:t>
      </w:r>
      <w:r>
        <w:rPr>
          <w:rFonts w:ascii="Times New Roman" w:hAnsi="Times New Roman" w:cs="Times New Roman"/>
          <w:sz w:val="24"/>
          <w:szCs w:val="21"/>
        </w:rPr>
        <w:t>R</w:t>
      </w:r>
      <w:r>
        <w:rPr>
          <w:rFonts w:ascii="Times New Roman" w:hAnsi="Times New Roman" w:cs="Times New Roman"/>
          <w:sz w:val="24"/>
          <w:szCs w:val="21"/>
          <w:vertAlign w:val="superscript"/>
        </w:rPr>
        <w:t xml:space="preserve">2 </w:t>
      </w:r>
      <w:r>
        <w:rPr>
          <w:rFonts w:ascii="Times New Roman" w:hAnsi="Times New Roman" w:eastAsia="宋体" w:cs="Times New Roman"/>
          <w:sz w:val="24"/>
          <w:szCs w:val="21"/>
        </w:rPr>
        <w:t>=0.9995</w:t>
      </w:r>
      <w:r>
        <w:rPr>
          <w:rFonts w:ascii="Times New Roman" w:hAnsi="Times New Roman" w:cs="Times New Roman"/>
          <w:sz w:val="24"/>
          <w:szCs w:val="21"/>
        </w:rPr>
        <w:t>,</w:t>
      </w:r>
      <w:r>
        <w:rPr>
          <w:rFonts w:ascii="Times New Roman" w:hAnsi="Times New Roman" w:eastAsia="宋体" w:cs="Times New Roman"/>
          <w:sz w:val="24"/>
          <w:szCs w:val="21"/>
        </w:rPr>
        <w:t>线性范围为0~100 mg/L。</w:t>
      </w:r>
    </w:p>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 xml:space="preserve">                             表1 标准系列溶液的测定                       mg/L</w:t>
      </w:r>
    </w:p>
    <w:tbl>
      <w:tblPr>
        <w:tblStyle w:val="10"/>
        <w:tblW w:w="0" w:type="auto"/>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8"/>
        <w:gridCol w:w="905"/>
        <w:gridCol w:w="905"/>
        <w:gridCol w:w="905"/>
        <w:gridCol w:w="905"/>
        <w:gridCol w:w="905"/>
        <w:gridCol w:w="905"/>
        <w:gridCol w:w="905"/>
        <w:gridCol w:w="905"/>
        <w:gridCol w:w="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Borders>
              <w:top w:val="single" w:color="auto" w:sz="12" w:space="0"/>
              <w:left w:val="nil"/>
              <w:bottom w:val="single" w:color="auto" w:sz="12" w:space="0"/>
              <w:right w:val="nil"/>
            </w:tcBorders>
            <w:noWrap/>
          </w:tcPr>
          <w:p>
            <w:pPr>
              <w:spacing w:line="288" w:lineRule="auto"/>
              <w:jc w:val="center"/>
              <w:rPr>
                <w:rFonts w:ascii="宋体" w:hAnsi="宋体" w:eastAsia="宋体" w:cs="宋体"/>
                <w:szCs w:val="21"/>
              </w:rPr>
            </w:pPr>
            <w:r>
              <w:rPr>
                <w:rFonts w:hint="eastAsia" w:ascii="宋体" w:hAnsi="宋体" w:cs="宋体"/>
                <w:sz w:val="18"/>
                <w:szCs w:val="18"/>
              </w:rPr>
              <w:t>序号</w:t>
            </w:r>
          </w:p>
        </w:tc>
        <w:tc>
          <w:tcPr>
            <w:tcW w:w="905" w:type="dxa"/>
            <w:tcBorders>
              <w:top w:val="single" w:color="auto" w:sz="12" w:space="0"/>
              <w:left w:val="nil"/>
              <w:bottom w:val="single" w:color="auto" w:sz="12" w:space="0"/>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0</w:t>
            </w:r>
          </w:p>
        </w:tc>
        <w:tc>
          <w:tcPr>
            <w:tcW w:w="905" w:type="dxa"/>
            <w:tcBorders>
              <w:top w:val="single" w:color="auto" w:sz="12" w:space="0"/>
              <w:left w:val="nil"/>
              <w:bottom w:val="single" w:color="auto" w:sz="12" w:space="0"/>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1</w:t>
            </w:r>
          </w:p>
        </w:tc>
        <w:tc>
          <w:tcPr>
            <w:tcW w:w="905" w:type="dxa"/>
            <w:tcBorders>
              <w:top w:val="single" w:color="auto" w:sz="12" w:space="0"/>
              <w:left w:val="nil"/>
              <w:bottom w:val="single" w:color="auto" w:sz="12" w:space="0"/>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2</w:t>
            </w:r>
          </w:p>
        </w:tc>
        <w:tc>
          <w:tcPr>
            <w:tcW w:w="905" w:type="dxa"/>
            <w:tcBorders>
              <w:top w:val="single" w:color="auto" w:sz="12" w:space="0"/>
              <w:left w:val="nil"/>
              <w:bottom w:val="single" w:color="auto" w:sz="12" w:space="0"/>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3</w:t>
            </w:r>
          </w:p>
        </w:tc>
        <w:tc>
          <w:tcPr>
            <w:tcW w:w="905" w:type="dxa"/>
            <w:tcBorders>
              <w:top w:val="single" w:color="auto" w:sz="12" w:space="0"/>
              <w:left w:val="nil"/>
              <w:bottom w:val="single" w:color="auto" w:sz="12" w:space="0"/>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4</w:t>
            </w:r>
          </w:p>
        </w:tc>
        <w:tc>
          <w:tcPr>
            <w:tcW w:w="905" w:type="dxa"/>
            <w:tcBorders>
              <w:top w:val="single" w:color="auto" w:sz="12" w:space="0"/>
              <w:left w:val="nil"/>
              <w:bottom w:val="single" w:color="auto" w:sz="12" w:space="0"/>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5</w:t>
            </w:r>
          </w:p>
        </w:tc>
        <w:tc>
          <w:tcPr>
            <w:tcW w:w="905" w:type="dxa"/>
            <w:tcBorders>
              <w:top w:val="single" w:color="auto" w:sz="12" w:space="0"/>
              <w:left w:val="nil"/>
              <w:bottom w:val="single" w:color="auto" w:sz="12" w:space="0"/>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6</w:t>
            </w:r>
          </w:p>
        </w:tc>
        <w:tc>
          <w:tcPr>
            <w:tcW w:w="905" w:type="dxa"/>
            <w:tcBorders>
              <w:top w:val="single" w:color="auto" w:sz="12" w:space="0"/>
              <w:left w:val="nil"/>
              <w:bottom w:val="single" w:color="auto" w:sz="12" w:space="0"/>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7</w:t>
            </w:r>
          </w:p>
        </w:tc>
        <w:tc>
          <w:tcPr>
            <w:tcW w:w="908" w:type="dxa"/>
            <w:tcBorders>
              <w:top w:val="single" w:color="auto" w:sz="12" w:space="0"/>
              <w:left w:val="nil"/>
              <w:bottom w:val="single" w:color="auto" w:sz="12" w:space="0"/>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488" w:type="dxa"/>
            <w:tcBorders>
              <w:top w:val="single" w:color="auto" w:sz="12" w:space="0"/>
              <w:left w:val="nil"/>
              <w:bottom w:val="nil"/>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标准值</w:t>
            </w:r>
          </w:p>
        </w:tc>
        <w:tc>
          <w:tcPr>
            <w:tcW w:w="905" w:type="dxa"/>
            <w:tcBorders>
              <w:top w:val="single" w:color="auto" w:sz="12" w:space="0"/>
              <w:left w:val="nil"/>
              <w:bottom w:val="nil"/>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0.00</w:t>
            </w:r>
          </w:p>
        </w:tc>
        <w:tc>
          <w:tcPr>
            <w:tcW w:w="905" w:type="dxa"/>
            <w:tcBorders>
              <w:top w:val="single" w:color="auto" w:sz="12" w:space="0"/>
              <w:left w:val="nil"/>
              <w:bottom w:val="nil"/>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1.00</w:t>
            </w:r>
          </w:p>
        </w:tc>
        <w:tc>
          <w:tcPr>
            <w:tcW w:w="905" w:type="dxa"/>
            <w:tcBorders>
              <w:top w:val="single" w:color="auto" w:sz="12" w:space="0"/>
              <w:left w:val="nil"/>
              <w:bottom w:val="nil"/>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2.00</w:t>
            </w:r>
          </w:p>
        </w:tc>
        <w:tc>
          <w:tcPr>
            <w:tcW w:w="905" w:type="dxa"/>
            <w:tcBorders>
              <w:top w:val="single" w:color="auto" w:sz="12" w:space="0"/>
              <w:left w:val="nil"/>
              <w:bottom w:val="nil"/>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5.00</w:t>
            </w:r>
          </w:p>
        </w:tc>
        <w:tc>
          <w:tcPr>
            <w:tcW w:w="905" w:type="dxa"/>
            <w:tcBorders>
              <w:top w:val="single" w:color="auto" w:sz="12" w:space="0"/>
              <w:left w:val="nil"/>
              <w:bottom w:val="nil"/>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10.0</w:t>
            </w:r>
          </w:p>
        </w:tc>
        <w:tc>
          <w:tcPr>
            <w:tcW w:w="905" w:type="dxa"/>
            <w:tcBorders>
              <w:top w:val="single" w:color="auto" w:sz="12" w:space="0"/>
              <w:left w:val="nil"/>
              <w:bottom w:val="nil"/>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20.0</w:t>
            </w:r>
          </w:p>
        </w:tc>
        <w:tc>
          <w:tcPr>
            <w:tcW w:w="905" w:type="dxa"/>
            <w:tcBorders>
              <w:top w:val="single" w:color="auto" w:sz="12" w:space="0"/>
              <w:left w:val="nil"/>
              <w:bottom w:val="nil"/>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50.0</w:t>
            </w:r>
          </w:p>
        </w:tc>
        <w:tc>
          <w:tcPr>
            <w:tcW w:w="905" w:type="dxa"/>
            <w:tcBorders>
              <w:top w:val="single" w:color="auto" w:sz="12" w:space="0"/>
              <w:left w:val="nil"/>
              <w:bottom w:val="nil"/>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75</w:t>
            </w:r>
          </w:p>
        </w:tc>
        <w:tc>
          <w:tcPr>
            <w:tcW w:w="908" w:type="dxa"/>
            <w:tcBorders>
              <w:top w:val="single" w:color="auto" w:sz="12" w:space="0"/>
              <w:left w:val="nil"/>
              <w:bottom w:val="nil"/>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Borders>
              <w:top w:val="nil"/>
              <w:left w:val="nil"/>
              <w:bottom w:val="nil"/>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测定值</w:t>
            </w:r>
          </w:p>
        </w:tc>
        <w:tc>
          <w:tcPr>
            <w:tcW w:w="905" w:type="dxa"/>
            <w:tcBorders>
              <w:top w:val="nil"/>
              <w:left w:val="nil"/>
              <w:bottom w:val="nil"/>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0</w:t>
            </w:r>
          </w:p>
        </w:tc>
        <w:tc>
          <w:tcPr>
            <w:tcW w:w="905" w:type="dxa"/>
            <w:tcBorders>
              <w:top w:val="nil"/>
              <w:left w:val="nil"/>
              <w:bottom w:val="nil"/>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1.042</w:t>
            </w:r>
          </w:p>
        </w:tc>
        <w:tc>
          <w:tcPr>
            <w:tcW w:w="905" w:type="dxa"/>
            <w:tcBorders>
              <w:top w:val="nil"/>
              <w:left w:val="nil"/>
              <w:bottom w:val="nil"/>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2.103</w:t>
            </w:r>
          </w:p>
        </w:tc>
        <w:tc>
          <w:tcPr>
            <w:tcW w:w="905" w:type="dxa"/>
            <w:tcBorders>
              <w:top w:val="nil"/>
              <w:left w:val="nil"/>
              <w:bottom w:val="nil"/>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5.138</w:t>
            </w:r>
          </w:p>
        </w:tc>
        <w:tc>
          <w:tcPr>
            <w:tcW w:w="905" w:type="dxa"/>
            <w:tcBorders>
              <w:top w:val="nil"/>
              <w:left w:val="nil"/>
              <w:bottom w:val="nil"/>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10.16</w:t>
            </w:r>
          </w:p>
        </w:tc>
        <w:tc>
          <w:tcPr>
            <w:tcW w:w="905" w:type="dxa"/>
            <w:tcBorders>
              <w:top w:val="nil"/>
              <w:left w:val="nil"/>
              <w:bottom w:val="nil"/>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20.87</w:t>
            </w:r>
          </w:p>
        </w:tc>
        <w:tc>
          <w:tcPr>
            <w:tcW w:w="905" w:type="dxa"/>
            <w:tcBorders>
              <w:top w:val="nil"/>
              <w:left w:val="nil"/>
              <w:bottom w:val="nil"/>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51.69</w:t>
            </w:r>
          </w:p>
        </w:tc>
        <w:tc>
          <w:tcPr>
            <w:tcW w:w="905" w:type="dxa"/>
            <w:tcBorders>
              <w:top w:val="nil"/>
              <w:left w:val="nil"/>
              <w:bottom w:val="nil"/>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73.45</w:t>
            </w:r>
          </w:p>
        </w:tc>
        <w:tc>
          <w:tcPr>
            <w:tcW w:w="908" w:type="dxa"/>
            <w:tcBorders>
              <w:top w:val="nil"/>
              <w:left w:val="nil"/>
              <w:bottom w:val="nil"/>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99.63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Borders>
              <w:top w:val="nil"/>
              <w:left w:val="nil"/>
              <w:bottom w:val="single" w:color="auto" w:sz="12" w:space="0"/>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相对误差，%</w:t>
            </w:r>
          </w:p>
        </w:tc>
        <w:tc>
          <w:tcPr>
            <w:tcW w:w="905" w:type="dxa"/>
            <w:tcBorders>
              <w:top w:val="nil"/>
              <w:left w:val="nil"/>
              <w:bottom w:val="single" w:color="auto" w:sz="12" w:space="0"/>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w:t>
            </w:r>
          </w:p>
        </w:tc>
        <w:tc>
          <w:tcPr>
            <w:tcW w:w="905" w:type="dxa"/>
            <w:tcBorders>
              <w:top w:val="nil"/>
              <w:left w:val="nil"/>
              <w:bottom w:val="single" w:color="auto" w:sz="12" w:space="0"/>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4.2</w:t>
            </w:r>
          </w:p>
        </w:tc>
        <w:tc>
          <w:tcPr>
            <w:tcW w:w="905" w:type="dxa"/>
            <w:tcBorders>
              <w:top w:val="nil"/>
              <w:left w:val="nil"/>
              <w:bottom w:val="single" w:color="auto" w:sz="12" w:space="0"/>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5.15</w:t>
            </w:r>
          </w:p>
        </w:tc>
        <w:tc>
          <w:tcPr>
            <w:tcW w:w="905" w:type="dxa"/>
            <w:tcBorders>
              <w:top w:val="nil"/>
              <w:left w:val="nil"/>
              <w:bottom w:val="single" w:color="auto" w:sz="12" w:space="0"/>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2.76</w:t>
            </w:r>
          </w:p>
        </w:tc>
        <w:tc>
          <w:tcPr>
            <w:tcW w:w="905" w:type="dxa"/>
            <w:tcBorders>
              <w:top w:val="nil"/>
              <w:left w:val="nil"/>
              <w:bottom w:val="single" w:color="auto" w:sz="12" w:space="0"/>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1.6</w:t>
            </w:r>
          </w:p>
        </w:tc>
        <w:tc>
          <w:tcPr>
            <w:tcW w:w="905" w:type="dxa"/>
            <w:tcBorders>
              <w:top w:val="nil"/>
              <w:left w:val="nil"/>
              <w:bottom w:val="single" w:color="auto" w:sz="12" w:space="0"/>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4.35</w:t>
            </w:r>
          </w:p>
        </w:tc>
        <w:tc>
          <w:tcPr>
            <w:tcW w:w="905" w:type="dxa"/>
            <w:tcBorders>
              <w:top w:val="nil"/>
              <w:left w:val="nil"/>
              <w:bottom w:val="single" w:color="auto" w:sz="12" w:space="0"/>
              <w:right w:val="nil"/>
            </w:tcBorders>
            <w:noWrap/>
          </w:tcPr>
          <w:p>
            <w:pPr>
              <w:spacing w:line="288" w:lineRule="auto"/>
              <w:jc w:val="center"/>
              <w:rPr>
                <w:rFonts w:ascii="Times New Roman" w:hAnsi="Times New Roman" w:cs="Times New Roman"/>
                <w:sz w:val="18"/>
                <w:szCs w:val="18"/>
              </w:rPr>
            </w:pPr>
            <w:r>
              <w:rPr>
                <w:rFonts w:hint="eastAsia" w:ascii="Times New Roman" w:hAnsi="Times New Roman" w:cs="Times New Roman"/>
                <w:sz w:val="18"/>
                <w:szCs w:val="18"/>
              </w:rPr>
              <w:t>3.38</w:t>
            </w:r>
          </w:p>
        </w:tc>
        <w:tc>
          <w:tcPr>
            <w:tcW w:w="905" w:type="dxa"/>
            <w:tcBorders>
              <w:top w:val="nil"/>
              <w:left w:val="nil"/>
              <w:bottom w:val="single" w:color="auto" w:sz="12" w:space="0"/>
              <w:right w:val="nil"/>
            </w:tcBorders>
            <w:noWrap/>
          </w:tcPr>
          <w:p>
            <w:pPr>
              <w:spacing w:line="288" w:lineRule="auto"/>
              <w:jc w:val="center"/>
              <w:rPr>
                <w:rFonts w:ascii="Times New Roman" w:hAnsi="Times New Roman" w:cs="Times New Roman"/>
                <w:sz w:val="18"/>
                <w:szCs w:val="18"/>
              </w:rPr>
            </w:pPr>
            <w:r>
              <w:rPr>
                <w:rFonts w:ascii="Times New Roman" w:hAnsi="Times New Roman" w:eastAsia="宋体" w:cs="Times New Roman"/>
                <w:sz w:val="18"/>
                <w:szCs w:val="18"/>
              </w:rPr>
              <w:t>－</w:t>
            </w:r>
            <w:r>
              <w:rPr>
                <w:rFonts w:ascii="Times New Roman" w:hAnsi="Times New Roman" w:cs="Times New Roman"/>
                <w:sz w:val="18"/>
                <w:szCs w:val="18"/>
              </w:rPr>
              <w:t>2.</w:t>
            </w:r>
            <w:r>
              <w:rPr>
                <w:rFonts w:hint="eastAsia" w:ascii="Times New Roman" w:hAnsi="Times New Roman" w:cs="Times New Roman"/>
                <w:sz w:val="18"/>
                <w:szCs w:val="18"/>
              </w:rPr>
              <w:t>07</w:t>
            </w:r>
          </w:p>
        </w:tc>
        <w:tc>
          <w:tcPr>
            <w:tcW w:w="908" w:type="dxa"/>
            <w:tcBorders>
              <w:top w:val="nil"/>
              <w:left w:val="nil"/>
              <w:bottom w:val="single" w:color="auto" w:sz="12" w:space="0"/>
              <w:right w:val="nil"/>
            </w:tcBorders>
            <w:noWrap/>
          </w:tcPr>
          <w:p>
            <w:pPr>
              <w:spacing w:line="288"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w:t>
            </w:r>
            <w:r>
              <w:rPr>
                <w:rFonts w:ascii="Times New Roman" w:hAnsi="Times New Roman" w:cs="Times New Roman"/>
                <w:sz w:val="18"/>
                <w:szCs w:val="18"/>
              </w:rPr>
              <w:t>0.37</w:t>
            </w:r>
          </w:p>
        </w:tc>
      </w:tr>
    </w:tbl>
    <w:p>
      <w:pPr>
        <w:pStyle w:val="22"/>
        <w:spacing w:line="360" w:lineRule="auto"/>
        <w:jc w:val="both"/>
        <w:rPr>
          <w:rFonts w:asciiTheme="minorEastAsia" w:hAnsiTheme="minorEastAsia" w:eastAsiaTheme="minorEastAsia"/>
          <w:b/>
          <w:sz w:val="24"/>
          <w:szCs w:val="24"/>
        </w:rPr>
      </w:pPr>
    </w:p>
    <w:p>
      <w:pPr>
        <w:pStyle w:val="22"/>
        <w:numPr>
          <w:ilvl w:val="0"/>
          <w:numId w:val="5"/>
        </w:numPr>
        <w:spacing w:line="360" w:lineRule="auto"/>
        <w:ind w:left="357" w:hanging="357"/>
        <w:jc w:val="both"/>
        <w:rPr>
          <w:rFonts w:asciiTheme="minorEastAsia" w:hAnsiTheme="minorEastAsia" w:eastAsiaTheme="minorEastAsia"/>
          <w:b/>
          <w:sz w:val="24"/>
          <w:szCs w:val="24"/>
        </w:rPr>
      </w:pPr>
      <w:r>
        <w:rPr>
          <w:rFonts w:hint="eastAsia" w:asciiTheme="minorEastAsia" w:hAnsiTheme="minorEastAsia" w:eastAsiaTheme="minorEastAsia"/>
          <w:b/>
          <w:spacing w:val="-11"/>
          <w:sz w:val="24"/>
          <w:szCs w:val="24"/>
        </w:rPr>
        <w:t>实验条件的探究</w:t>
      </w:r>
    </w:p>
    <w:p>
      <w:pPr>
        <w:pStyle w:val="22"/>
        <w:spacing w:line="360" w:lineRule="auto"/>
        <w:jc w:val="both"/>
        <w:rPr>
          <w:rFonts w:ascii="Times New Roman" w:hAnsi="Times New Roman" w:eastAsia="宋体" w:cs="Times New Roman"/>
          <w:kern w:val="2"/>
          <w:sz w:val="24"/>
          <w:szCs w:val="24"/>
          <w:lang w:val="en-US" w:bidi="ar-SA"/>
        </w:rPr>
      </w:pPr>
      <w:r>
        <w:rPr>
          <w:rFonts w:ascii="Times New Roman" w:hAnsi="Times New Roman" w:eastAsia="宋体" w:cs="Times New Roman"/>
          <w:kern w:val="2"/>
          <w:sz w:val="24"/>
          <w:szCs w:val="24"/>
          <w:lang w:val="en-US" w:bidi="ar-SA"/>
        </w:rPr>
        <w:t>2.1 萃取剂选择</w:t>
      </w:r>
    </w:p>
    <w:p>
      <w:pPr>
        <w:spacing w:line="288"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四氯化碳作为油雾萃取剂，易挥发，受热易分解，对人体毒害较大，且对大气臭氧层有严重破坏，已被</w:t>
      </w:r>
      <w:r>
        <w:rPr>
          <w:rFonts w:ascii="Times New Roman" w:hAnsi="Times New Roman" w:cs="Times New Roman"/>
          <w:sz w:val="24"/>
          <w:szCs w:val="24"/>
        </w:rPr>
        <w:t>禁止</w:t>
      </w:r>
      <w:r>
        <w:rPr>
          <w:rFonts w:ascii="Times New Roman" w:hAnsi="Times New Roman" w:eastAsia="宋体" w:cs="Times New Roman"/>
          <w:sz w:val="24"/>
          <w:szCs w:val="24"/>
        </w:rPr>
        <w:t>使用；六氟四氯丁烷（S-136）不容易发挥</w:t>
      </w:r>
      <w:r>
        <w:rPr>
          <w:rFonts w:ascii="Times New Roman" w:hAnsi="Times New Roman" w:cs="Times New Roman"/>
          <w:sz w:val="24"/>
          <w:szCs w:val="24"/>
        </w:rPr>
        <w:t>，</w:t>
      </w:r>
      <w:r>
        <w:rPr>
          <w:rFonts w:ascii="Times New Roman" w:hAnsi="Times New Roman" w:eastAsia="宋体" w:cs="Times New Roman"/>
          <w:sz w:val="24"/>
          <w:szCs w:val="24"/>
        </w:rPr>
        <w:t>不可燃烧，熔点高，凝固点较低，在碱性、酸性、油性以及水体环境中都非常稳定，且毒性小</w:t>
      </w:r>
      <w:r>
        <w:rPr>
          <w:rFonts w:ascii="Times New Roman" w:hAnsi="Times New Roman" w:cs="Times New Roman"/>
          <w:sz w:val="24"/>
          <w:szCs w:val="24"/>
        </w:rPr>
        <w:t>，</w:t>
      </w:r>
      <w:r>
        <w:rPr>
          <w:rFonts w:ascii="Times New Roman" w:hAnsi="Times New Roman" w:eastAsia="宋体" w:cs="Times New Roman"/>
          <w:sz w:val="24"/>
          <w:szCs w:val="24"/>
        </w:rPr>
        <w:t>暂未列入蒙特利尔破坏臭氧层物质管制议定书管制试剂名录，作为油雾萃取剂效果好，但价格昂。四氯乙烯具有毒性低，热稳定好，成本较六氟四氯丁烷低，是油雾良好的萃取剂。</w:t>
      </w:r>
      <w:r>
        <w:rPr>
          <w:rFonts w:ascii="Times New Roman" w:hAnsi="Times New Roman" w:cs="Times New Roman"/>
          <w:sz w:val="24"/>
          <w:szCs w:val="24"/>
        </w:rPr>
        <w:t>当四氯乙烯本底值较高时，可用硅酸镁层析柱吸附过滤后使用。</w:t>
      </w:r>
    </w:p>
    <w:p>
      <w:pPr>
        <w:pStyle w:val="22"/>
        <w:spacing w:line="360" w:lineRule="auto"/>
        <w:jc w:val="both"/>
        <w:rPr>
          <w:rFonts w:ascii="Times New Roman" w:hAnsi="Times New Roman" w:eastAsia="宋体" w:cs="Times New Roman"/>
          <w:kern w:val="2"/>
          <w:sz w:val="24"/>
          <w:szCs w:val="24"/>
          <w:lang w:val="en-US" w:bidi="ar-SA"/>
        </w:rPr>
      </w:pPr>
      <w:r>
        <w:rPr>
          <w:rFonts w:ascii="Times New Roman" w:hAnsi="Times New Roman" w:eastAsia="宋体" w:cs="Times New Roman"/>
          <w:kern w:val="2"/>
          <w:sz w:val="24"/>
          <w:szCs w:val="24"/>
          <w:lang w:val="en-US" w:bidi="ar-SA"/>
        </w:rPr>
        <w:t>2.2 滤膜的选择与处理</w:t>
      </w:r>
    </w:p>
    <w:p>
      <w:pPr>
        <w:spacing w:line="288" w:lineRule="auto"/>
        <w:ind w:firstLine="480" w:firstLineChars="200"/>
        <w:rPr>
          <w:rFonts w:ascii="Times New Roman" w:hAnsi="Times New Roman" w:eastAsia="黑体" w:cs="Times New Roman"/>
          <w:bCs/>
          <w:sz w:val="24"/>
          <w:szCs w:val="24"/>
        </w:rPr>
      </w:pPr>
      <w:r>
        <w:rPr>
          <w:rFonts w:ascii="Times New Roman" w:hAnsi="Times New Roman" w:cs="Times New Roman"/>
          <w:sz w:val="24"/>
          <w:szCs w:val="24"/>
        </w:rPr>
        <w:t>用</w:t>
      </w:r>
      <w:r>
        <w:rPr>
          <w:rFonts w:ascii="Times New Roman" w:hAnsi="Times New Roman" w:eastAsia="宋体" w:cs="Times New Roman"/>
          <w:sz w:val="24"/>
          <w:szCs w:val="24"/>
        </w:rPr>
        <w:t>聚四氟乙烯膜、玻璃纤维膜、聚氯乙烯膜、微孔滤膜试验测滤膜空白本底值，</w:t>
      </w:r>
      <w:r>
        <w:rPr>
          <w:rFonts w:ascii="Times New Roman" w:hAnsi="Times New Roman" w:cs="Times New Roman"/>
          <w:sz w:val="24"/>
          <w:szCs w:val="24"/>
        </w:rPr>
        <w:t>测得</w:t>
      </w:r>
      <w:r>
        <w:rPr>
          <w:rFonts w:ascii="Times New Roman" w:hAnsi="Times New Roman" w:eastAsia="宋体" w:cs="Times New Roman"/>
          <w:sz w:val="24"/>
          <w:szCs w:val="24"/>
        </w:rPr>
        <w:t>聚四氟乙烯滤膜和玻璃纤维滤膜本底值</w:t>
      </w:r>
      <w:r>
        <w:rPr>
          <w:rFonts w:ascii="Times New Roman" w:hAnsi="Times New Roman" w:cs="Times New Roman"/>
          <w:sz w:val="24"/>
          <w:szCs w:val="24"/>
        </w:rPr>
        <w:t>较低。</w:t>
      </w:r>
      <w:r>
        <w:rPr>
          <w:rFonts w:ascii="Times New Roman" w:hAnsi="Times New Roman" w:eastAsia="宋体" w:cs="Times New Roman"/>
          <w:sz w:val="24"/>
          <w:szCs w:val="24"/>
        </w:rPr>
        <w:t>聚四氟乙烯滤膜</w:t>
      </w:r>
      <w:r>
        <w:rPr>
          <w:rFonts w:ascii="Times New Roman" w:hAnsi="Times New Roman" w:cs="Times New Roman"/>
          <w:sz w:val="24"/>
          <w:szCs w:val="24"/>
        </w:rPr>
        <w:t>不易碎裂，作为采样介质更加合适</w:t>
      </w:r>
      <w:r>
        <w:rPr>
          <w:rFonts w:ascii="Times New Roman" w:hAnsi="Times New Roman" w:eastAsia="宋体" w:cs="Times New Roman"/>
          <w:sz w:val="24"/>
          <w:szCs w:val="24"/>
        </w:rPr>
        <w:t>。玻璃纤维滤膜和聚四氟乙烯滤膜用四氯乙烯溶剂浸泡</w:t>
      </w:r>
      <w:r>
        <w:rPr>
          <w:rFonts w:ascii="Times New Roman" w:hAnsi="Times New Roman" w:cs="Times New Roman"/>
          <w:sz w:val="24"/>
          <w:szCs w:val="24"/>
        </w:rPr>
        <w:t>过夜</w:t>
      </w:r>
      <w:r>
        <w:rPr>
          <w:rFonts w:ascii="Times New Roman" w:hAnsi="Times New Roman" w:eastAsia="宋体" w:cs="Times New Roman"/>
          <w:sz w:val="24"/>
          <w:szCs w:val="24"/>
        </w:rPr>
        <w:t>后干燥备用，或将玻璃纤维滤膜</w:t>
      </w:r>
      <w:r>
        <w:rPr>
          <w:rFonts w:ascii="Times New Roman" w:hAnsi="Times New Roman" w:cs="Times New Roman"/>
          <w:sz w:val="24"/>
          <w:szCs w:val="24"/>
        </w:rPr>
        <w:t>于马弗炉4</w:t>
      </w:r>
      <w:r>
        <w:rPr>
          <w:rFonts w:ascii="Times New Roman" w:hAnsi="Times New Roman" w:eastAsia="宋体" w:cs="Times New Roman"/>
          <w:spacing w:val="-3"/>
          <w:sz w:val="24"/>
          <w:szCs w:val="24"/>
        </w:rPr>
        <w:t>00</w:t>
      </w:r>
      <w:r>
        <w:rPr>
          <w:rFonts w:ascii="Times New Roman" w:hAnsi="Times New Roman" w:eastAsia="宋体" w:cs="Times New Roman"/>
          <w:sz w:val="24"/>
          <w:szCs w:val="24"/>
        </w:rPr>
        <w:t>℃烘烤</w:t>
      </w:r>
      <w:r>
        <w:rPr>
          <w:rFonts w:ascii="Times New Roman" w:hAnsi="Times New Roman" w:cs="Times New Roman"/>
          <w:sz w:val="24"/>
          <w:szCs w:val="24"/>
        </w:rPr>
        <w:t>1h</w:t>
      </w:r>
      <w:r>
        <w:rPr>
          <w:rFonts w:ascii="Times New Roman" w:hAnsi="Times New Roman" w:eastAsia="宋体" w:cs="Times New Roman"/>
          <w:sz w:val="24"/>
          <w:szCs w:val="24"/>
        </w:rPr>
        <w:t>，降低干扰，同时避免</w:t>
      </w:r>
      <w:r>
        <w:rPr>
          <w:rFonts w:ascii="Times New Roman" w:hAnsi="Times New Roman" w:cs="Times New Roman"/>
          <w:sz w:val="24"/>
          <w:szCs w:val="24"/>
        </w:rPr>
        <w:t>破坏</w:t>
      </w:r>
      <w:r>
        <w:rPr>
          <w:rFonts w:ascii="Times New Roman" w:hAnsi="Times New Roman" w:eastAsia="宋体" w:cs="Times New Roman"/>
          <w:sz w:val="24"/>
          <w:szCs w:val="24"/>
        </w:rPr>
        <w:t>滤膜结构。</w:t>
      </w:r>
    </w:p>
    <w:p>
      <w:pPr>
        <w:pStyle w:val="22"/>
        <w:spacing w:line="360" w:lineRule="auto"/>
        <w:jc w:val="both"/>
        <w:rPr>
          <w:rFonts w:ascii="Times New Roman" w:hAnsi="Times New Roman" w:eastAsia="黑体" w:cs="Times New Roman"/>
          <w:bCs/>
          <w:w w:val="105"/>
          <w:sz w:val="24"/>
          <w:szCs w:val="24"/>
          <w:lang w:val="en-US"/>
        </w:rPr>
      </w:pPr>
    </w:p>
    <w:p>
      <w:pPr>
        <w:pStyle w:val="22"/>
        <w:numPr>
          <w:ilvl w:val="0"/>
          <w:numId w:val="5"/>
        </w:numPr>
        <w:spacing w:line="360" w:lineRule="auto"/>
        <w:ind w:left="357" w:hanging="357"/>
        <w:jc w:val="both"/>
        <w:rPr>
          <w:rFonts w:asciiTheme="minorEastAsia" w:hAnsiTheme="minorEastAsia" w:eastAsiaTheme="minorEastAsia"/>
          <w:b/>
          <w:sz w:val="24"/>
          <w:szCs w:val="24"/>
        </w:rPr>
      </w:pPr>
      <w:r>
        <w:rPr>
          <w:rFonts w:hint="eastAsia" w:asciiTheme="minorEastAsia" w:hAnsiTheme="minorEastAsia" w:eastAsiaTheme="minorEastAsia"/>
          <w:b/>
          <w:spacing w:val="-11"/>
          <w:sz w:val="24"/>
          <w:szCs w:val="24"/>
        </w:rPr>
        <w:t>关于实验</w:t>
      </w:r>
      <w:r>
        <w:rPr>
          <w:rFonts w:asciiTheme="minorEastAsia" w:hAnsiTheme="minorEastAsia" w:eastAsiaTheme="minorEastAsia"/>
          <w:b/>
          <w:spacing w:val="-11"/>
          <w:sz w:val="24"/>
          <w:szCs w:val="24"/>
        </w:rPr>
        <w:t>验证的说明</w:t>
      </w:r>
    </w:p>
    <w:p>
      <w:pPr>
        <w:pStyle w:val="22"/>
        <w:spacing w:line="360" w:lineRule="auto"/>
        <w:ind w:firstLine="480" w:firstLineChars="200"/>
        <w:jc w:val="both"/>
        <w:rPr>
          <w:rFonts w:ascii="Times New Roman" w:hAnsi="Times New Roman" w:cs="Times New Roman" w:eastAsiaTheme="minorEastAsia"/>
          <w:bCs/>
          <w:color w:val="000000"/>
          <w:kern w:val="2"/>
          <w:sz w:val="24"/>
          <w:lang w:val="en-US" w:bidi="ar-SA"/>
        </w:rPr>
      </w:pPr>
      <w:r>
        <w:rPr>
          <w:rFonts w:ascii="Times New Roman" w:hAnsi="Times New Roman" w:eastAsia="宋体" w:cs="Times New Roman"/>
          <w:bCs/>
          <w:color w:val="000000"/>
          <w:kern w:val="2"/>
          <w:sz w:val="24"/>
          <w:lang w:val="en-US" w:bidi="ar-SA"/>
        </w:rPr>
        <w:t>本实验方法选择了本底值较低的聚四氟乙烯滤膜进行预处理后在工作场所中进行油雾采样，然后用更加环保的四氯乙烯来超声萃取样品，通过方法学方法验证本实验的方法检出限、三种不同水平的加标实验来考察方法的精密度和回收率。实验过程对滤膜选择、试剂选择、样品处理方式以及萃取方式进行详细分析</w:t>
      </w:r>
      <w:r>
        <w:rPr>
          <w:rFonts w:ascii="Times New Roman" w:hAnsi="Times New Roman" w:cs="Times New Roman" w:eastAsiaTheme="minorEastAsia"/>
          <w:bCs/>
          <w:color w:val="000000"/>
          <w:kern w:val="2"/>
          <w:sz w:val="24"/>
          <w:lang w:val="en-US" w:bidi="ar-SA"/>
        </w:rPr>
        <w:t>，通过一系列的方法学研究验证本项目的可行性</w:t>
      </w:r>
      <w:r>
        <w:rPr>
          <w:rFonts w:ascii="Times New Roman" w:hAnsi="Times New Roman" w:eastAsia="宋体" w:cs="Times New Roman"/>
          <w:bCs/>
          <w:color w:val="000000"/>
          <w:kern w:val="2"/>
          <w:sz w:val="24"/>
          <w:lang w:val="en-US" w:bidi="ar-SA"/>
        </w:rPr>
        <w:t>，实验验证工作主要由</w:t>
      </w:r>
      <w:r>
        <w:rPr>
          <w:rFonts w:ascii="Times New Roman" w:hAnsi="Times New Roman" w:cs="Times New Roman" w:eastAsiaTheme="minorEastAsia"/>
          <w:bCs/>
          <w:color w:val="000000"/>
          <w:kern w:val="2"/>
          <w:sz w:val="24"/>
          <w:lang w:val="en-US" w:bidi="ar-SA"/>
        </w:rPr>
        <w:t>湖北中检检测有限公司</w:t>
      </w:r>
      <w:r>
        <w:rPr>
          <w:rFonts w:ascii="Times New Roman" w:hAnsi="Times New Roman" w:eastAsia="宋体" w:cs="Times New Roman"/>
          <w:bCs/>
          <w:color w:val="000000"/>
          <w:kern w:val="2"/>
          <w:sz w:val="24"/>
          <w:lang w:val="en-US" w:bidi="ar-SA"/>
        </w:rPr>
        <w:t>实验室承担（湖北中检检测有限公司是属于中国检验认证集团湖北有限公司的子公司，负责测试业务的第三方实验室）</w:t>
      </w:r>
      <w:r>
        <w:rPr>
          <w:rFonts w:ascii="Times New Roman" w:hAnsi="Times New Roman" w:cs="Times New Roman" w:eastAsiaTheme="minorEastAsia"/>
          <w:bCs/>
          <w:color w:val="000000"/>
          <w:kern w:val="2"/>
          <w:sz w:val="24"/>
          <w:lang w:val="en-US" w:bidi="ar-SA"/>
        </w:rPr>
        <w:t>，</w:t>
      </w:r>
      <w:r>
        <w:rPr>
          <w:rFonts w:ascii="Times New Roman" w:hAnsi="Times New Roman" w:eastAsia="宋体" w:cs="Times New Roman"/>
          <w:sz w:val="24"/>
          <w:szCs w:val="24"/>
          <w:lang w:val="en-US"/>
        </w:rPr>
        <w:t>湖北华信中正检测技术有限公司、武汉海关技术中心襄阳检测实验室、武汉仲联诚鉴检测技术有限公司、湖北科艾乐检测科技有限公司、湖北省纤维检验局、中检（深圳）环境技术服务有限公司等6家实验室参与了协同验证工作</w:t>
      </w:r>
      <w:r>
        <w:rPr>
          <w:rFonts w:ascii="Times New Roman" w:hAnsi="Times New Roman" w:cs="Times New Roman" w:eastAsiaTheme="minorEastAsia"/>
          <w:bCs/>
          <w:color w:val="0070C0"/>
          <w:kern w:val="2"/>
          <w:sz w:val="24"/>
          <w:lang w:val="en-US" w:bidi="ar-SA"/>
        </w:rPr>
        <w:t>。</w:t>
      </w:r>
    </w:p>
    <w:p>
      <w:pPr>
        <w:pStyle w:val="22"/>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2"/>
        <w:numPr>
          <w:ilvl w:val="0"/>
          <w:numId w:val="5"/>
        </w:numPr>
        <w:spacing w:line="360" w:lineRule="auto"/>
        <w:ind w:left="357" w:hanging="357"/>
        <w:jc w:val="both"/>
        <w:rPr>
          <w:rFonts w:asciiTheme="minorEastAsia" w:hAnsiTheme="minorEastAsia" w:eastAsiaTheme="minorEastAsia"/>
          <w:b/>
          <w:sz w:val="24"/>
          <w:szCs w:val="24"/>
        </w:rPr>
      </w:pPr>
      <w:r>
        <w:rPr>
          <w:rFonts w:hint="eastAsia" w:asciiTheme="minorEastAsia" w:hAnsiTheme="minorEastAsia" w:eastAsiaTheme="minorEastAsia"/>
          <w:b/>
          <w:spacing w:val="-11"/>
          <w:sz w:val="24"/>
          <w:szCs w:val="24"/>
        </w:rPr>
        <w:t>实验材料</w:t>
      </w:r>
    </w:p>
    <w:p>
      <w:pPr>
        <w:autoSpaceDE w:val="0"/>
        <w:autoSpaceDN w:val="0"/>
        <w:adjustRightInd w:val="0"/>
        <w:spacing w:line="360" w:lineRule="auto"/>
        <w:ind w:firstLine="480" w:firstLineChars="200"/>
        <w:jc w:val="left"/>
        <w:rPr>
          <w:rFonts w:ascii="Times New Roman" w:hAnsi="Times New Roman" w:cs="Times New Roman"/>
          <w:bCs/>
          <w:sz w:val="24"/>
        </w:rPr>
      </w:pPr>
      <w:r>
        <w:rPr>
          <w:rFonts w:ascii="Times New Roman" w:hAnsi="Times New Roman" w:cs="Times New Roman"/>
          <w:bCs/>
          <w:sz w:val="24"/>
        </w:rPr>
        <w:t>聚四氟乙烯滤膜为上海安谱官网同一批次购买所得，正十六烷、异辛烷、苯、四氯乙烯也均为上海安谱官网所购优级纯试剂，标准油有证标准溶液</w:t>
      </w:r>
      <w:r>
        <w:rPr>
          <w:rFonts w:ascii="Times New Roman" w:hAnsi="Times New Roman" w:eastAsia="宋体" w:cs="Times New Roman"/>
          <w:sz w:val="24"/>
          <w:szCs w:val="21"/>
        </w:rPr>
        <w:t>ρ=1000 mg/L为坛墨质检所购，</w:t>
      </w:r>
      <w:r>
        <w:rPr>
          <w:rFonts w:ascii="Times New Roman" w:hAnsi="Times New Roman" w:cs="Times New Roman"/>
          <w:sz w:val="24"/>
          <w:szCs w:val="21"/>
        </w:rPr>
        <w:t>其编号为</w:t>
      </w:r>
      <w:r>
        <w:rPr>
          <w:rFonts w:ascii="Times New Roman" w:hAnsi="Times New Roman" w:eastAsia="宋体" w:cs="Times New Roman"/>
          <w:sz w:val="24"/>
          <w:szCs w:val="21"/>
        </w:rPr>
        <w:t>BW901424-1000-SLYX</w:t>
      </w:r>
      <w:r>
        <w:rPr>
          <w:rFonts w:ascii="Times New Roman" w:hAnsi="Times New Roman" w:cs="Times New Roman"/>
          <w:sz w:val="24"/>
          <w:szCs w:val="21"/>
        </w:rPr>
        <w:t>,</w:t>
      </w:r>
      <w:r>
        <w:rPr>
          <w:rFonts w:ascii="Times New Roman" w:hAnsi="Times New Roman" w:eastAsia="宋体" w:cs="Times New Roman"/>
          <w:sz w:val="24"/>
          <w:szCs w:val="21"/>
        </w:rPr>
        <w:t>A1812247</w:t>
      </w:r>
      <w:r>
        <w:rPr>
          <w:rFonts w:ascii="Times New Roman" w:hAnsi="Times New Roman" w:cs="Times New Roman"/>
          <w:bCs/>
          <w:sz w:val="24"/>
        </w:rPr>
        <w:t>。</w:t>
      </w:r>
    </w:p>
    <w:p>
      <w:pPr>
        <w:pStyle w:val="22"/>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2"/>
        <w:numPr>
          <w:ilvl w:val="0"/>
          <w:numId w:val="5"/>
        </w:numPr>
        <w:spacing w:line="360" w:lineRule="auto"/>
        <w:ind w:left="357" w:hanging="357"/>
        <w:jc w:val="both"/>
        <w:rPr>
          <w:rFonts w:asciiTheme="minorEastAsia" w:hAnsiTheme="minorEastAsia" w:eastAsiaTheme="minorEastAsia"/>
          <w:b/>
          <w:sz w:val="24"/>
          <w:szCs w:val="24"/>
        </w:rPr>
      </w:pPr>
      <w:r>
        <w:rPr>
          <w:rFonts w:hint="eastAsia" w:asciiTheme="minorEastAsia" w:hAnsiTheme="minorEastAsia" w:eastAsiaTheme="minorEastAsia"/>
          <w:b/>
          <w:spacing w:val="-11"/>
          <w:sz w:val="24"/>
          <w:szCs w:val="24"/>
        </w:rPr>
        <w:t>实验设备</w:t>
      </w:r>
    </w:p>
    <w:p>
      <w:pPr>
        <w:autoSpaceDE w:val="0"/>
        <w:autoSpaceDN w:val="0"/>
        <w:adjustRightInd w:val="0"/>
        <w:spacing w:line="360" w:lineRule="auto"/>
        <w:ind w:firstLine="480" w:firstLineChars="200"/>
        <w:jc w:val="left"/>
        <w:rPr>
          <w:rFonts w:ascii="Times New Roman" w:hAnsi="Times New Roman" w:cs="Times New Roman"/>
          <w:bCs/>
          <w:color w:val="000000"/>
          <w:sz w:val="24"/>
        </w:rPr>
      </w:pPr>
      <w:r>
        <w:rPr>
          <w:rFonts w:ascii="Times New Roman" w:hAnsi="Times New Roman" w:cs="Times New Roman"/>
          <w:bCs/>
          <w:color w:val="000000"/>
          <w:sz w:val="24"/>
        </w:rPr>
        <w:t>验证实验所用设备：</w:t>
      </w:r>
    </w:p>
    <w:p>
      <w:pPr>
        <w:pStyle w:val="22"/>
        <w:spacing w:line="360" w:lineRule="auto"/>
        <w:ind w:firstLine="480" w:firstLineChars="200"/>
        <w:jc w:val="both"/>
        <w:rPr>
          <w:rFonts w:ascii="Times New Roman" w:hAnsi="Times New Roman" w:eastAsia="宋体" w:cs="Times New Roman"/>
          <w:sz w:val="24"/>
          <w:szCs w:val="21"/>
          <w:lang w:val="en-US"/>
        </w:rPr>
      </w:pPr>
      <w:r>
        <w:rPr>
          <w:rFonts w:ascii="Times New Roman" w:hAnsi="Times New Roman" w:eastAsia="宋体" w:cs="Times New Roman"/>
          <w:sz w:val="24"/>
          <w:szCs w:val="21"/>
          <w:lang w:val="en-US"/>
        </w:rPr>
        <w:t>①</w:t>
      </w:r>
      <w:r>
        <w:rPr>
          <w:rFonts w:ascii="Times New Roman" w:hAnsi="Times New Roman" w:cs="Times New Roman" w:eastAsiaTheme="minorEastAsia"/>
          <w:bCs/>
          <w:color w:val="000000"/>
          <w:kern w:val="2"/>
          <w:sz w:val="24"/>
          <w:lang w:val="en-US" w:bidi="ar-SA"/>
        </w:rPr>
        <w:t>.</w:t>
      </w:r>
      <w:r>
        <w:rPr>
          <w:rFonts w:ascii="Times New Roman" w:hAnsi="Times New Roman" w:eastAsia="宋体" w:cs="Times New Roman"/>
          <w:sz w:val="24"/>
          <w:szCs w:val="21"/>
          <w:lang w:val="en-US"/>
        </w:rPr>
        <w:t>粉尘采样器：型号TFC-30，流量1~15 L/min，流量误差 ≤ ±5%，盐城天悦仪器仪表有限公司；</w:t>
      </w:r>
    </w:p>
    <w:p>
      <w:pPr>
        <w:pStyle w:val="22"/>
        <w:spacing w:line="360" w:lineRule="auto"/>
        <w:ind w:firstLine="480" w:firstLineChars="200"/>
        <w:jc w:val="both"/>
        <w:rPr>
          <w:rFonts w:ascii="Times New Roman" w:hAnsi="Times New Roman" w:cs="Times New Roman" w:eastAsiaTheme="minorEastAsia"/>
          <w:bCs/>
          <w:color w:val="000000"/>
          <w:sz w:val="24"/>
        </w:rPr>
      </w:pPr>
      <w:r>
        <w:rPr>
          <w:rFonts w:ascii="Times New Roman" w:hAnsi="Times New Roman" w:eastAsia="宋体" w:cs="Times New Roman"/>
          <w:sz w:val="24"/>
          <w:szCs w:val="21"/>
          <w:lang w:val="en-US"/>
        </w:rPr>
        <w:t>②</w:t>
      </w:r>
      <w:r>
        <w:rPr>
          <w:rFonts w:ascii="Times New Roman" w:hAnsi="Times New Roman" w:cs="Times New Roman" w:eastAsiaTheme="minorEastAsia"/>
          <w:bCs/>
          <w:color w:val="000000"/>
          <w:sz w:val="24"/>
        </w:rPr>
        <w:t>.</w:t>
      </w:r>
      <w:r>
        <w:rPr>
          <w:rFonts w:ascii="Times New Roman" w:hAnsi="Times New Roman" w:eastAsia="宋体" w:cs="Times New Roman"/>
          <w:sz w:val="24"/>
          <w:szCs w:val="21"/>
          <w:lang w:val="en-US"/>
        </w:rPr>
        <w:t>红外测油仪 ：F2000-ⅡK型 ，吉林欧伊尔有限公司；仪器扫描范围：3400 cm</w:t>
      </w:r>
      <w:r>
        <w:rPr>
          <w:rFonts w:ascii="Times New Roman" w:hAnsi="Times New Roman" w:eastAsia="宋体" w:cs="Times New Roman"/>
          <w:sz w:val="24"/>
          <w:szCs w:val="21"/>
          <w:vertAlign w:val="superscript"/>
          <w:lang w:val="en-US"/>
        </w:rPr>
        <w:t xml:space="preserve"> -1</w:t>
      </w:r>
      <w:r>
        <w:rPr>
          <w:rFonts w:ascii="Times New Roman" w:hAnsi="Times New Roman" w:eastAsia="宋体" w:cs="Times New Roman"/>
          <w:sz w:val="24"/>
          <w:szCs w:val="21"/>
          <w:lang w:val="en-US"/>
        </w:rPr>
        <w:t xml:space="preserve"> 至 2400 cm</w:t>
      </w:r>
      <w:r>
        <w:rPr>
          <w:rFonts w:ascii="Times New Roman" w:hAnsi="Times New Roman" w:eastAsia="宋体" w:cs="Times New Roman"/>
          <w:sz w:val="24"/>
          <w:szCs w:val="21"/>
          <w:vertAlign w:val="superscript"/>
          <w:lang w:val="en-US"/>
        </w:rPr>
        <w:t xml:space="preserve"> -1</w:t>
      </w:r>
      <w:r>
        <w:rPr>
          <w:rFonts w:ascii="Times New Roman" w:hAnsi="Times New Roman" w:eastAsia="宋体" w:cs="Times New Roman"/>
          <w:sz w:val="24"/>
          <w:szCs w:val="21"/>
          <w:lang w:val="en-US"/>
        </w:rPr>
        <w:t>，配4cm带盖石英比色皿</w:t>
      </w:r>
      <w:r>
        <w:rPr>
          <w:rFonts w:ascii="Times New Roman" w:hAnsi="Times New Roman" w:cs="Times New Roman" w:eastAsiaTheme="minorEastAsia"/>
          <w:bCs/>
          <w:color w:val="000000"/>
          <w:sz w:val="24"/>
        </w:rPr>
        <w:t>；</w:t>
      </w:r>
    </w:p>
    <w:p>
      <w:pPr>
        <w:pStyle w:val="22"/>
        <w:spacing w:line="360" w:lineRule="auto"/>
        <w:ind w:firstLine="480" w:firstLineChars="200"/>
        <w:jc w:val="both"/>
        <w:rPr>
          <w:rFonts w:ascii="Times New Roman" w:hAnsi="Times New Roman" w:eastAsia="宋体" w:cs="Times New Roman"/>
          <w:sz w:val="24"/>
          <w:szCs w:val="21"/>
          <w:lang w:val="en-US"/>
        </w:rPr>
      </w:pPr>
      <w:r>
        <w:rPr>
          <w:rFonts w:ascii="Times New Roman" w:hAnsi="Times New Roman" w:eastAsia="宋体" w:cs="Times New Roman"/>
          <w:sz w:val="24"/>
          <w:szCs w:val="21"/>
          <w:lang w:val="en-US"/>
        </w:rPr>
        <w:t>③ KQ5200型，昆山市超声仪器有限公司。</w:t>
      </w:r>
    </w:p>
    <w:p>
      <w:pPr>
        <w:pStyle w:val="22"/>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2"/>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2"/>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2"/>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2"/>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2"/>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2"/>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2"/>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2"/>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2"/>
        <w:spacing w:line="360" w:lineRule="auto"/>
        <w:ind w:firstLine="480" w:firstLineChars="200"/>
        <w:jc w:val="both"/>
        <w:rPr>
          <w:rFonts w:asciiTheme="minorHAnsi" w:hAnsiTheme="minorHAnsi" w:eastAsiaTheme="minorEastAsia" w:cstheme="minorBidi"/>
          <w:bCs/>
          <w:color w:val="000000"/>
          <w:kern w:val="2"/>
          <w:sz w:val="24"/>
          <w:lang w:val="en-US" w:bidi="ar-SA"/>
        </w:rPr>
      </w:pPr>
    </w:p>
    <w:p>
      <w:pPr>
        <w:pStyle w:val="22"/>
        <w:numPr>
          <w:ilvl w:val="0"/>
          <w:numId w:val="5"/>
        </w:numPr>
        <w:spacing w:line="360" w:lineRule="auto"/>
        <w:ind w:left="357" w:hanging="357"/>
        <w:jc w:val="both"/>
        <w:rPr>
          <w:rFonts w:asciiTheme="minorEastAsia" w:hAnsiTheme="minorEastAsia" w:eastAsiaTheme="minorEastAsia"/>
          <w:b/>
          <w:sz w:val="24"/>
          <w:szCs w:val="24"/>
        </w:rPr>
      </w:pPr>
      <w:r>
        <w:rPr>
          <w:rFonts w:hint="eastAsia" w:asciiTheme="minorEastAsia" w:hAnsiTheme="minorEastAsia" w:eastAsiaTheme="minorEastAsia"/>
          <w:b/>
          <w:spacing w:val="-11"/>
          <w:sz w:val="24"/>
          <w:szCs w:val="24"/>
        </w:rPr>
        <w:t>实验方法</w:t>
      </w:r>
    </w:p>
    <w:p>
      <w:pPr>
        <w:widowControl/>
        <w:spacing w:line="360" w:lineRule="auto"/>
        <w:ind w:firstLine="480" w:firstLineChars="200"/>
        <w:jc w:val="left"/>
        <w:rPr>
          <w:bCs/>
          <w:color w:val="000000"/>
          <w:sz w:val="24"/>
        </w:rPr>
      </w:pPr>
      <w:r>
        <w:rPr>
          <w:rFonts w:hint="eastAsia"/>
          <w:bCs/>
          <w:color w:val="000000"/>
          <w:sz w:val="24"/>
        </w:rPr>
        <w:t>同第三章 4 分析步骤</w:t>
      </w:r>
    </w:p>
    <w:p>
      <w:pPr>
        <w:pStyle w:val="22"/>
        <w:numPr>
          <w:ilvl w:val="0"/>
          <w:numId w:val="5"/>
        </w:numPr>
        <w:spacing w:line="360" w:lineRule="auto"/>
        <w:ind w:left="357" w:hanging="357"/>
        <w:jc w:val="both"/>
        <w:rPr>
          <w:rFonts w:asciiTheme="minorEastAsia" w:hAnsiTheme="minorEastAsia" w:eastAsiaTheme="minorEastAsia"/>
          <w:b/>
          <w:sz w:val="24"/>
          <w:szCs w:val="24"/>
        </w:rPr>
      </w:pPr>
      <w:r>
        <w:rPr>
          <w:rFonts w:hint="eastAsia" w:asciiTheme="minorEastAsia" w:hAnsiTheme="minorEastAsia" w:eastAsiaTheme="minorEastAsia"/>
          <w:b/>
          <w:spacing w:val="-11"/>
          <w:sz w:val="24"/>
          <w:szCs w:val="24"/>
        </w:rPr>
        <w:t>方法学验证</w:t>
      </w:r>
    </w:p>
    <w:p>
      <w:pPr>
        <w:widowControl/>
        <w:spacing w:line="360" w:lineRule="auto"/>
        <w:jc w:val="left"/>
        <w:rPr>
          <w:rFonts w:ascii="Times New Roman" w:hAnsi="Times New Roman" w:cs="Times New Roman"/>
          <w:bCs/>
          <w:sz w:val="24"/>
          <w:szCs w:val="24"/>
        </w:rPr>
      </w:pPr>
      <w:r>
        <w:rPr>
          <w:rFonts w:ascii="Times New Roman" w:hAnsi="Times New Roman" w:cs="Times New Roman"/>
          <w:bCs/>
          <w:sz w:val="24"/>
          <w:szCs w:val="24"/>
        </w:rPr>
        <w:t>5.1 检出限的测定</w:t>
      </w:r>
    </w:p>
    <w:p>
      <w:pPr>
        <w:widowControl/>
        <w:spacing w:line="360" w:lineRule="auto"/>
        <w:jc w:val="left"/>
        <w:rPr>
          <w:rFonts w:ascii="Times New Roman" w:hAnsi="Times New Roman" w:cs="Times New Roman"/>
          <w:bCs/>
          <w:sz w:val="24"/>
          <w:szCs w:val="24"/>
        </w:rPr>
      </w:pPr>
      <w:r>
        <w:rPr>
          <w:rFonts w:ascii="Times New Roman" w:hAnsi="Times New Roman" w:cs="Times New Roman"/>
          <w:bCs/>
          <w:sz w:val="24"/>
          <w:szCs w:val="24"/>
        </w:rPr>
        <w:t xml:space="preserve">   HJ 168-202《环境监测 分析方法标准制修订技术导则》附录A.1.1要求，按照样品分析的全部步骤，重复n（n</w:t>
      </w:r>
      <w:r>
        <w:rPr>
          <w:rFonts w:ascii="Times New Roman" w:hAnsi="Times New Roman" w:cs="Times New Roman"/>
          <w:bCs/>
          <w:sz w:val="24"/>
          <w:szCs w:val="24"/>
        </w:rPr>
        <w:sym w:font="Symbol" w:char="00B3"/>
      </w:r>
      <w:r>
        <w:rPr>
          <w:rFonts w:ascii="Times New Roman" w:hAnsi="Times New Roman" w:cs="Times New Roman"/>
          <w:bCs/>
          <w:sz w:val="24"/>
          <w:szCs w:val="24"/>
        </w:rPr>
        <w:t>7，本试验平行测定8次）次空白试验，将各测定结果换算为样品中的浓度或含量，计算8次平行测定的标准偏差，按公式MDL=t(</w:t>
      </w:r>
      <w:r>
        <w:rPr>
          <w:rFonts w:ascii="Times New Roman" w:hAnsi="Times New Roman" w:cs="Times New Roman"/>
          <w:bCs/>
          <w:sz w:val="24"/>
          <w:szCs w:val="24"/>
          <w:vertAlign w:val="subscript"/>
        </w:rPr>
        <w:t>n-1，0.99</w:t>
      </w:r>
      <w:r>
        <w:rPr>
          <w:rFonts w:ascii="Times New Roman" w:hAnsi="Times New Roman" w:cs="Times New Roman"/>
          <w:bCs/>
          <w:sz w:val="24"/>
          <w:szCs w:val="24"/>
        </w:rPr>
        <w:t>)×S计算方法检出限（MDL），其中n为空白样品的平行测定次数，本实验室平行测定8次，故n=8，t表示自由度为n-1，置信度为99%时的t分布（单侧），查表得知t(</w:t>
      </w:r>
      <w:r>
        <w:rPr>
          <w:rFonts w:ascii="Times New Roman" w:hAnsi="Times New Roman" w:cs="Times New Roman"/>
          <w:bCs/>
          <w:sz w:val="24"/>
          <w:szCs w:val="24"/>
          <w:vertAlign w:val="subscript"/>
        </w:rPr>
        <w:t>7，0.99</w:t>
      </w:r>
      <w:r>
        <w:rPr>
          <w:rFonts w:ascii="Times New Roman" w:hAnsi="Times New Roman" w:cs="Times New Roman"/>
          <w:bCs/>
          <w:sz w:val="24"/>
          <w:szCs w:val="24"/>
        </w:rPr>
        <w:t>)=2.998，S为n次平行测定的标准偏差。本实验室详细的方法检出限测试数据见表2，在本方法中，萃取溶液定容体积为25 mL，采样体积以200 L计算，本实验室所计算得出的方法检出限为0.035 mg/m</w:t>
      </w:r>
      <w:r>
        <w:rPr>
          <w:rFonts w:ascii="Times New Roman" w:hAnsi="Times New Roman" w:cs="Times New Roman"/>
          <w:bCs/>
          <w:sz w:val="24"/>
          <w:szCs w:val="24"/>
          <w:vertAlign w:val="superscript"/>
        </w:rPr>
        <w:t>3，</w:t>
      </w:r>
      <w:r>
        <w:rPr>
          <w:rFonts w:ascii="Times New Roman" w:hAnsi="Times New Roman" w:cs="Times New Roman"/>
          <w:bCs/>
          <w:sz w:val="24"/>
          <w:szCs w:val="24"/>
        </w:rPr>
        <w:t>结合同类实验室间比对检出限测定结果，兼顾方法普适行及现行标准要求，故本方法油雾检出限拟定为0.05 mg/m</w:t>
      </w:r>
      <w:r>
        <w:rPr>
          <w:rFonts w:ascii="Times New Roman" w:hAnsi="Times New Roman" w:cs="Times New Roman"/>
          <w:bCs/>
          <w:sz w:val="24"/>
          <w:szCs w:val="24"/>
          <w:vertAlign w:val="superscript"/>
        </w:rPr>
        <w:t>3</w:t>
      </w:r>
      <w:r>
        <w:rPr>
          <w:rFonts w:ascii="Times New Roman" w:hAnsi="Times New Roman" w:cs="Times New Roman"/>
          <w:bCs/>
          <w:sz w:val="24"/>
          <w:szCs w:val="24"/>
        </w:rPr>
        <w:t>。</w:t>
      </w:r>
    </w:p>
    <w:p>
      <w:pPr>
        <w:jc w:val="center"/>
        <w:rPr>
          <w:rFonts w:ascii="Calibri" w:hAnsi="Calibri" w:eastAsia="宋体" w:cs="Times New Roman"/>
          <w:b/>
          <w:bCs/>
          <w:sz w:val="24"/>
        </w:rPr>
      </w:pPr>
      <w:r>
        <w:rPr>
          <w:rFonts w:hint="eastAsia" w:ascii="Calibri" w:hAnsi="Calibri" w:eastAsia="宋体" w:cs="Times New Roman"/>
          <w:szCs w:val="21"/>
        </w:rPr>
        <w:t>表 2聚四氟乙烯空白滤膜中油雾检出限的测定数据表</w:t>
      </w:r>
    </w:p>
    <w:tbl>
      <w:tblPr>
        <w:tblStyle w:val="9"/>
        <w:tblW w:w="4998" w:type="pct"/>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2027"/>
        <w:gridCol w:w="2526"/>
        <w:gridCol w:w="3966"/>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1190" w:type="pct"/>
            <w:vMerge w:val="restart"/>
            <w:tcBorders>
              <w:tl2br w:val="nil"/>
              <w:tr2bl w:val="nil"/>
            </w:tcBorders>
            <w:shd w:val="clear" w:color="auto" w:fill="auto"/>
            <w:noWrap/>
            <w:vAlign w:val="center"/>
          </w:tcPr>
          <w:p>
            <w:pPr>
              <w:widowControl/>
              <w:spacing w:line="360" w:lineRule="auto"/>
              <w:jc w:val="center"/>
              <w:rPr>
                <w:rFonts w:ascii="Times New Roman" w:hAnsi="Times New Roman" w:cs="Times New Roman"/>
                <w:bCs/>
                <w:sz w:val="24"/>
                <w:szCs w:val="24"/>
              </w:rPr>
            </w:pPr>
            <w:r>
              <w:rPr>
                <w:rFonts w:ascii="Times New Roman" w:hAnsi="Times New Roman" w:cs="Times New Roman"/>
                <w:bCs/>
                <w:sz w:val="24"/>
                <w:szCs w:val="24"/>
              </w:rPr>
              <w:t>平行次数</w:t>
            </w:r>
          </w:p>
        </w:tc>
        <w:tc>
          <w:tcPr>
            <w:tcW w:w="3809" w:type="pct"/>
            <w:gridSpan w:val="2"/>
            <w:tcBorders>
              <w:tl2br w:val="nil"/>
              <w:tr2bl w:val="nil"/>
            </w:tcBorders>
            <w:shd w:val="clear" w:color="auto" w:fill="auto"/>
            <w:noWrap/>
            <w:vAlign w:val="center"/>
          </w:tcPr>
          <w:p>
            <w:pPr>
              <w:widowControl/>
              <w:spacing w:line="360" w:lineRule="auto"/>
              <w:jc w:val="center"/>
              <w:rPr>
                <w:rFonts w:ascii="Times New Roman" w:hAnsi="Times New Roman" w:cs="Times New Roman"/>
                <w:bCs/>
                <w:sz w:val="24"/>
                <w:szCs w:val="24"/>
              </w:rPr>
            </w:pPr>
            <w:r>
              <w:rPr>
                <w:rFonts w:ascii="Times New Roman" w:hAnsi="Times New Roman" w:cs="Times New Roman"/>
                <w:bCs/>
                <w:sz w:val="24"/>
                <w:szCs w:val="24"/>
              </w:rPr>
              <w:t>测试数据（</w:t>
            </w:r>
            <w:r>
              <w:rPr>
                <w:rFonts w:hint="eastAsia" w:ascii="Times New Roman" w:hAnsi="Times New Roman" w:cs="Times New Roman"/>
                <w:bCs/>
                <w:sz w:val="24"/>
                <w:szCs w:val="24"/>
              </w:rPr>
              <w:t>m</w:t>
            </w:r>
            <w:r>
              <w:rPr>
                <w:rFonts w:ascii="Times New Roman" w:hAnsi="Times New Roman" w:cs="Times New Roman"/>
                <w:bCs/>
                <w:sz w:val="24"/>
                <w:szCs w:val="24"/>
              </w:rPr>
              <w:t>g/</w:t>
            </w:r>
            <w:r>
              <w:rPr>
                <w:rFonts w:hint="eastAsia" w:ascii="Times New Roman" w:hAnsi="Times New Roman" w:cs="Times New Roman"/>
                <w:bCs/>
                <w:sz w:val="24"/>
                <w:szCs w:val="24"/>
              </w:rPr>
              <w:t>m</w:t>
            </w:r>
            <w:r>
              <w:rPr>
                <w:rFonts w:hint="eastAsia" w:ascii="Times New Roman" w:hAnsi="Times New Roman" w:cs="Times New Roman"/>
                <w:bCs/>
                <w:sz w:val="24"/>
                <w:szCs w:val="24"/>
                <w:vertAlign w:val="superscript"/>
              </w:rPr>
              <w:t>3</w:t>
            </w:r>
            <w:r>
              <w:rPr>
                <w:rFonts w:ascii="Times New Roman" w:hAnsi="Times New Roman" w:cs="Times New Roman"/>
                <w:bCs/>
                <w:sz w:val="24"/>
                <w:szCs w:val="24"/>
              </w:rPr>
              <w:t>）</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1190" w:type="pct"/>
            <w:vMerge w:val="continue"/>
            <w:tcBorders>
              <w:tl2br w:val="nil"/>
              <w:tr2bl w:val="nil"/>
            </w:tcBorders>
            <w:shd w:val="clear" w:color="auto" w:fill="auto"/>
            <w:noWrap/>
            <w:vAlign w:val="center"/>
          </w:tcPr>
          <w:p>
            <w:pPr>
              <w:widowControl/>
              <w:spacing w:line="360" w:lineRule="auto"/>
              <w:jc w:val="center"/>
              <w:rPr>
                <w:rFonts w:ascii="Times New Roman" w:hAnsi="Times New Roman" w:cs="Times New Roman"/>
                <w:bCs/>
                <w:sz w:val="24"/>
                <w:szCs w:val="24"/>
              </w:rPr>
            </w:pPr>
          </w:p>
        </w:tc>
        <w:tc>
          <w:tcPr>
            <w:tcW w:w="1481" w:type="pct"/>
            <w:tcBorders>
              <w:tl2br w:val="nil"/>
              <w:tr2bl w:val="nil"/>
            </w:tcBorders>
            <w:shd w:val="clear" w:color="auto" w:fill="auto"/>
            <w:noWrap/>
            <w:vAlign w:val="center"/>
          </w:tcPr>
          <w:p>
            <w:pPr>
              <w:widowControl/>
              <w:spacing w:line="36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3966" w:type="dxa"/>
            <w:tcBorders>
              <w:tl2br w:val="nil"/>
              <w:tr2bl w:val="nil"/>
            </w:tcBorders>
            <w:shd w:val="clear" w:color="auto" w:fill="auto"/>
            <w:noWrap/>
            <w:vAlign w:val="center"/>
          </w:tcPr>
          <w:p>
            <w:pPr>
              <w:widowControl/>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0.029</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1190" w:type="pct"/>
            <w:vMerge w:val="continue"/>
            <w:tcBorders>
              <w:tl2br w:val="nil"/>
              <w:tr2bl w:val="nil"/>
            </w:tcBorders>
            <w:shd w:val="clear" w:color="auto" w:fill="auto"/>
            <w:noWrap/>
            <w:vAlign w:val="center"/>
          </w:tcPr>
          <w:p>
            <w:pPr>
              <w:widowControl/>
              <w:spacing w:line="360" w:lineRule="auto"/>
              <w:jc w:val="center"/>
              <w:rPr>
                <w:rFonts w:ascii="Times New Roman" w:hAnsi="Times New Roman" w:cs="Times New Roman"/>
                <w:bCs/>
                <w:sz w:val="24"/>
                <w:szCs w:val="24"/>
              </w:rPr>
            </w:pPr>
          </w:p>
        </w:tc>
        <w:tc>
          <w:tcPr>
            <w:tcW w:w="1481" w:type="pct"/>
            <w:tcBorders>
              <w:tl2br w:val="nil"/>
              <w:tr2bl w:val="nil"/>
            </w:tcBorders>
            <w:shd w:val="clear" w:color="auto" w:fill="auto"/>
            <w:noWrap/>
            <w:vAlign w:val="center"/>
          </w:tcPr>
          <w:p>
            <w:pPr>
              <w:widowControl/>
              <w:spacing w:line="36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966" w:type="dxa"/>
            <w:tcBorders>
              <w:tl2br w:val="nil"/>
              <w:tr2bl w:val="nil"/>
            </w:tcBorders>
            <w:shd w:val="clear" w:color="auto" w:fill="auto"/>
            <w:noWrap/>
            <w:vAlign w:val="center"/>
          </w:tcPr>
          <w:p>
            <w:pPr>
              <w:widowControl/>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0.041</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1190" w:type="pct"/>
            <w:vMerge w:val="continue"/>
            <w:tcBorders>
              <w:tl2br w:val="nil"/>
              <w:tr2bl w:val="nil"/>
            </w:tcBorders>
            <w:shd w:val="clear" w:color="auto" w:fill="auto"/>
            <w:noWrap/>
            <w:vAlign w:val="center"/>
          </w:tcPr>
          <w:p>
            <w:pPr>
              <w:widowControl/>
              <w:spacing w:line="360" w:lineRule="auto"/>
              <w:jc w:val="center"/>
              <w:rPr>
                <w:rFonts w:ascii="Times New Roman" w:hAnsi="Times New Roman" w:cs="Times New Roman"/>
                <w:bCs/>
                <w:sz w:val="24"/>
                <w:szCs w:val="24"/>
              </w:rPr>
            </w:pPr>
          </w:p>
        </w:tc>
        <w:tc>
          <w:tcPr>
            <w:tcW w:w="1481" w:type="pct"/>
            <w:tcBorders>
              <w:tl2br w:val="nil"/>
              <w:tr2bl w:val="nil"/>
            </w:tcBorders>
            <w:shd w:val="clear" w:color="auto" w:fill="auto"/>
            <w:noWrap/>
            <w:vAlign w:val="center"/>
          </w:tcPr>
          <w:p>
            <w:pPr>
              <w:widowControl/>
              <w:spacing w:line="360"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3966" w:type="dxa"/>
            <w:tcBorders>
              <w:tl2br w:val="nil"/>
              <w:tr2bl w:val="nil"/>
            </w:tcBorders>
            <w:shd w:val="clear" w:color="auto" w:fill="auto"/>
            <w:noWrap/>
            <w:vAlign w:val="center"/>
          </w:tcPr>
          <w:p>
            <w:pPr>
              <w:widowControl/>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0.036</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1190" w:type="pct"/>
            <w:vMerge w:val="continue"/>
            <w:tcBorders>
              <w:tl2br w:val="nil"/>
              <w:tr2bl w:val="nil"/>
            </w:tcBorders>
            <w:shd w:val="clear" w:color="auto" w:fill="auto"/>
            <w:noWrap/>
            <w:vAlign w:val="center"/>
          </w:tcPr>
          <w:p>
            <w:pPr>
              <w:widowControl/>
              <w:spacing w:line="360" w:lineRule="auto"/>
              <w:jc w:val="center"/>
              <w:rPr>
                <w:rFonts w:ascii="Times New Roman" w:hAnsi="Times New Roman" w:cs="Times New Roman"/>
                <w:bCs/>
                <w:sz w:val="24"/>
                <w:szCs w:val="24"/>
              </w:rPr>
            </w:pPr>
          </w:p>
        </w:tc>
        <w:tc>
          <w:tcPr>
            <w:tcW w:w="1481" w:type="pct"/>
            <w:tcBorders>
              <w:tl2br w:val="nil"/>
              <w:tr2bl w:val="nil"/>
            </w:tcBorders>
            <w:shd w:val="clear" w:color="auto" w:fill="auto"/>
            <w:noWrap/>
            <w:vAlign w:val="center"/>
          </w:tcPr>
          <w:p>
            <w:pPr>
              <w:widowControl/>
              <w:spacing w:line="36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966" w:type="dxa"/>
            <w:tcBorders>
              <w:tl2br w:val="nil"/>
              <w:tr2bl w:val="nil"/>
            </w:tcBorders>
            <w:shd w:val="clear" w:color="auto" w:fill="auto"/>
            <w:noWrap/>
            <w:vAlign w:val="center"/>
          </w:tcPr>
          <w:p>
            <w:pPr>
              <w:widowControl/>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0.059</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1190" w:type="pct"/>
            <w:vMerge w:val="continue"/>
            <w:tcBorders>
              <w:tl2br w:val="nil"/>
              <w:tr2bl w:val="nil"/>
            </w:tcBorders>
            <w:shd w:val="clear" w:color="auto" w:fill="auto"/>
            <w:noWrap/>
            <w:vAlign w:val="center"/>
          </w:tcPr>
          <w:p>
            <w:pPr>
              <w:widowControl/>
              <w:spacing w:line="360" w:lineRule="auto"/>
              <w:jc w:val="center"/>
              <w:rPr>
                <w:rFonts w:ascii="Times New Roman" w:hAnsi="Times New Roman" w:cs="Times New Roman"/>
                <w:bCs/>
                <w:sz w:val="24"/>
                <w:szCs w:val="24"/>
              </w:rPr>
            </w:pPr>
          </w:p>
        </w:tc>
        <w:tc>
          <w:tcPr>
            <w:tcW w:w="1481" w:type="pct"/>
            <w:tcBorders>
              <w:tl2br w:val="nil"/>
              <w:tr2bl w:val="nil"/>
            </w:tcBorders>
            <w:shd w:val="clear" w:color="auto" w:fill="auto"/>
            <w:noWrap/>
            <w:vAlign w:val="center"/>
          </w:tcPr>
          <w:p>
            <w:pPr>
              <w:widowControl/>
              <w:spacing w:line="360" w:lineRule="auto"/>
              <w:jc w:val="center"/>
              <w:rPr>
                <w:rFonts w:ascii="Times New Roman" w:hAnsi="Times New Roman" w:cs="Times New Roman"/>
                <w:bCs/>
                <w:sz w:val="24"/>
                <w:szCs w:val="24"/>
              </w:rPr>
            </w:pPr>
            <w:r>
              <w:rPr>
                <w:rFonts w:ascii="Times New Roman" w:hAnsi="Times New Roman" w:cs="Times New Roman"/>
                <w:bCs/>
                <w:sz w:val="24"/>
                <w:szCs w:val="24"/>
              </w:rPr>
              <w:t>5</w:t>
            </w:r>
          </w:p>
        </w:tc>
        <w:tc>
          <w:tcPr>
            <w:tcW w:w="3966" w:type="dxa"/>
            <w:tcBorders>
              <w:tl2br w:val="nil"/>
              <w:tr2bl w:val="nil"/>
            </w:tcBorders>
            <w:shd w:val="clear" w:color="auto" w:fill="auto"/>
            <w:noWrap/>
            <w:vAlign w:val="center"/>
          </w:tcPr>
          <w:p>
            <w:pPr>
              <w:widowControl/>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0.053</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1190" w:type="pct"/>
            <w:vMerge w:val="continue"/>
            <w:tcBorders>
              <w:tl2br w:val="nil"/>
              <w:tr2bl w:val="nil"/>
            </w:tcBorders>
            <w:shd w:val="clear" w:color="auto" w:fill="auto"/>
            <w:noWrap/>
            <w:vAlign w:val="center"/>
          </w:tcPr>
          <w:p>
            <w:pPr>
              <w:widowControl/>
              <w:spacing w:line="360" w:lineRule="auto"/>
              <w:jc w:val="center"/>
              <w:rPr>
                <w:rFonts w:ascii="Times New Roman" w:hAnsi="Times New Roman" w:cs="Times New Roman"/>
                <w:bCs/>
                <w:sz w:val="24"/>
                <w:szCs w:val="24"/>
              </w:rPr>
            </w:pPr>
          </w:p>
        </w:tc>
        <w:tc>
          <w:tcPr>
            <w:tcW w:w="1481" w:type="pct"/>
            <w:tcBorders>
              <w:tl2br w:val="nil"/>
              <w:tr2bl w:val="nil"/>
            </w:tcBorders>
            <w:shd w:val="clear" w:color="auto" w:fill="auto"/>
            <w:noWrap/>
            <w:vAlign w:val="center"/>
          </w:tcPr>
          <w:p>
            <w:pPr>
              <w:widowControl/>
              <w:spacing w:line="36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966" w:type="dxa"/>
            <w:tcBorders>
              <w:tl2br w:val="nil"/>
              <w:tr2bl w:val="nil"/>
            </w:tcBorders>
            <w:shd w:val="clear" w:color="auto" w:fill="auto"/>
            <w:noWrap/>
            <w:vAlign w:val="center"/>
          </w:tcPr>
          <w:p>
            <w:pPr>
              <w:widowControl/>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0.049</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1190" w:type="pct"/>
            <w:vMerge w:val="continue"/>
            <w:tcBorders>
              <w:tl2br w:val="nil"/>
              <w:tr2bl w:val="nil"/>
            </w:tcBorders>
            <w:shd w:val="clear" w:color="auto" w:fill="auto"/>
            <w:noWrap/>
            <w:vAlign w:val="center"/>
          </w:tcPr>
          <w:p>
            <w:pPr>
              <w:widowControl/>
              <w:spacing w:line="360" w:lineRule="auto"/>
              <w:jc w:val="center"/>
              <w:rPr>
                <w:rFonts w:ascii="Times New Roman" w:hAnsi="Times New Roman" w:cs="Times New Roman"/>
                <w:bCs/>
                <w:sz w:val="24"/>
                <w:szCs w:val="24"/>
              </w:rPr>
            </w:pPr>
          </w:p>
        </w:tc>
        <w:tc>
          <w:tcPr>
            <w:tcW w:w="1481" w:type="pct"/>
            <w:tcBorders>
              <w:tl2br w:val="nil"/>
              <w:tr2bl w:val="nil"/>
            </w:tcBorders>
            <w:shd w:val="clear" w:color="auto" w:fill="auto"/>
            <w:noWrap/>
            <w:vAlign w:val="center"/>
          </w:tcPr>
          <w:p>
            <w:pPr>
              <w:widowControl/>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7</w:t>
            </w:r>
          </w:p>
        </w:tc>
        <w:tc>
          <w:tcPr>
            <w:tcW w:w="3966" w:type="dxa"/>
            <w:tcBorders>
              <w:tl2br w:val="nil"/>
              <w:tr2bl w:val="nil"/>
            </w:tcBorders>
            <w:shd w:val="clear" w:color="auto" w:fill="auto"/>
            <w:noWrap/>
            <w:vAlign w:val="center"/>
          </w:tcPr>
          <w:p>
            <w:pPr>
              <w:widowControl/>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0.025</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1190" w:type="pct"/>
            <w:vMerge w:val="continue"/>
            <w:tcBorders>
              <w:tl2br w:val="nil"/>
              <w:tr2bl w:val="nil"/>
            </w:tcBorders>
            <w:shd w:val="clear" w:color="auto" w:fill="auto"/>
            <w:noWrap/>
            <w:vAlign w:val="center"/>
          </w:tcPr>
          <w:p>
            <w:pPr>
              <w:widowControl/>
              <w:spacing w:line="360" w:lineRule="auto"/>
              <w:jc w:val="center"/>
              <w:rPr>
                <w:rFonts w:ascii="Times New Roman" w:hAnsi="Times New Roman" w:cs="Times New Roman"/>
                <w:bCs/>
                <w:sz w:val="24"/>
                <w:szCs w:val="24"/>
              </w:rPr>
            </w:pPr>
          </w:p>
        </w:tc>
        <w:tc>
          <w:tcPr>
            <w:tcW w:w="1481" w:type="pct"/>
            <w:tcBorders>
              <w:tl2br w:val="nil"/>
              <w:tr2bl w:val="nil"/>
            </w:tcBorders>
            <w:shd w:val="clear" w:color="auto" w:fill="auto"/>
            <w:noWrap/>
            <w:vAlign w:val="center"/>
          </w:tcPr>
          <w:p>
            <w:pPr>
              <w:widowControl/>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8</w:t>
            </w:r>
          </w:p>
        </w:tc>
        <w:tc>
          <w:tcPr>
            <w:tcW w:w="3966" w:type="dxa"/>
            <w:tcBorders>
              <w:tl2br w:val="nil"/>
              <w:tr2bl w:val="nil"/>
            </w:tcBorders>
            <w:shd w:val="clear" w:color="auto" w:fill="auto"/>
            <w:noWrap/>
            <w:vAlign w:val="center"/>
          </w:tcPr>
          <w:p>
            <w:pPr>
              <w:widowControl/>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0.044</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2672" w:type="pct"/>
            <w:gridSpan w:val="2"/>
            <w:tcBorders>
              <w:tl2br w:val="nil"/>
              <w:tr2bl w:val="nil"/>
            </w:tcBorders>
            <w:shd w:val="clear" w:color="auto" w:fill="auto"/>
            <w:noWrap/>
            <w:vAlign w:val="center"/>
          </w:tcPr>
          <w:p>
            <w:pPr>
              <w:widowControl/>
              <w:spacing w:line="360" w:lineRule="auto"/>
              <w:jc w:val="center"/>
              <w:rPr>
                <w:rFonts w:ascii="Times New Roman" w:hAnsi="Times New Roman" w:cs="Times New Roman"/>
                <w:bCs/>
                <w:sz w:val="24"/>
                <w:szCs w:val="24"/>
              </w:rPr>
            </w:pPr>
            <w:r>
              <w:rPr>
                <w:rFonts w:ascii="Times New Roman" w:hAnsi="Times New Roman" w:cs="Times New Roman"/>
                <w:bCs/>
                <w:sz w:val="24"/>
                <w:szCs w:val="24"/>
              </w:rPr>
              <w:t>样品空白平均值</w:t>
            </w:r>
          </w:p>
        </w:tc>
        <w:tc>
          <w:tcPr>
            <w:tcW w:w="3966" w:type="dxa"/>
            <w:tcBorders>
              <w:tl2br w:val="nil"/>
              <w:tr2bl w:val="nil"/>
            </w:tcBorders>
            <w:shd w:val="clear" w:color="auto" w:fill="auto"/>
            <w:noWrap/>
            <w:vAlign w:val="center"/>
          </w:tcPr>
          <w:p>
            <w:pPr>
              <w:widowControl/>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0.0420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2672" w:type="pct"/>
            <w:gridSpan w:val="2"/>
            <w:tcBorders>
              <w:tl2br w:val="nil"/>
              <w:tr2bl w:val="nil"/>
            </w:tcBorders>
            <w:shd w:val="clear" w:color="auto" w:fill="auto"/>
            <w:noWrap/>
            <w:vAlign w:val="center"/>
          </w:tcPr>
          <w:p>
            <w:pPr>
              <w:widowControl/>
              <w:spacing w:line="360" w:lineRule="auto"/>
              <w:jc w:val="center"/>
              <w:rPr>
                <w:rFonts w:ascii="Times New Roman" w:hAnsi="Times New Roman" w:cs="Times New Roman"/>
                <w:bCs/>
                <w:sz w:val="24"/>
                <w:szCs w:val="24"/>
              </w:rPr>
            </w:pPr>
            <w:r>
              <w:rPr>
                <w:rFonts w:ascii="Times New Roman" w:hAnsi="Times New Roman" w:cs="Times New Roman"/>
                <w:bCs/>
                <w:sz w:val="24"/>
                <w:szCs w:val="24"/>
              </w:rPr>
              <w:t>标准偏差</w:t>
            </w:r>
            <w:r>
              <w:rPr>
                <w:rFonts w:hint="eastAsia" w:ascii="Times New Roman" w:hAnsi="Times New Roman" w:cs="Times New Roman"/>
                <w:bCs/>
                <w:sz w:val="24"/>
                <w:szCs w:val="24"/>
              </w:rPr>
              <w:t>S</w:t>
            </w:r>
          </w:p>
        </w:tc>
        <w:tc>
          <w:tcPr>
            <w:tcW w:w="3966" w:type="dxa"/>
            <w:tcBorders>
              <w:tl2br w:val="nil"/>
              <w:tr2bl w:val="nil"/>
            </w:tcBorders>
            <w:shd w:val="clear" w:color="auto" w:fill="auto"/>
            <w:noWrap/>
            <w:vAlign w:val="center"/>
          </w:tcPr>
          <w:p>
            <w:pPr>
              <w:widowControl/>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0.0117</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2672" w:type="pct"/>
            <w:gridSpan w:val="2"/>
            <w:tcBorders>
              <w:tl2br w:val="nil"/>
              <w:tr2bl w:val="nil"/>
            </w:tcBorders>
            <w:shd w:val="clear" w:color="auto" w:fill="auto"/>
            <w:noWrap/>
            <w:vAlign w:val="center"/>
          </w:tcPr>
          <w:p>
            <w:pPr>
              <w:widowControl/>
              <w:spacing w:line="360" w:lineRule="auto"/>
              <w:jc w:val="center"/>
              <w:rPr>
                <w:rFonts w:ascii="Times New Roman" w:hAnsi="Times New Roman" w:cs="Times New Roman"/>
                <w:bCs/>
                <w:sz w:val="24"/>
                <w:szCs w:val="24"/>
              </w:rPr>
            </w:pPr>
            <w:r>
              <w:rPr>
                <w:rFonts w:ascii="Times New Roman" w:hAnsi="Times New Roman" w:cs="Times New Roman"/>
                <w:bCs/>
                <w:sz w:val="24"/>
                <w:szCs w:val="24"/>
              </w:rPr>
              <w:t>检出限</w:t>
            </w:r>
          </w:p>
        </w:tc>
        <w:tc>
          <w:tcPr>
            <w:tcW w:w="3966" w:type="dxa"/>
            <w:tcBorders>
              <w:tl2br w:val="nil"/>
              <w:tr2bl w:val="nil"/>
            </w:tcBorders>
            <w:shd w:val="clear" w:color="auto" w:fill="auto"/>
            <w:noWrap/>
            <w:vAlign w:val="center"/>
          </w:tcPr>
          <w:p>
            <w:pPr>
              <w:widowControl/>
              <w:spacing w:line="360" w:lineRule="auto"/>
              <w:jc w:val="center"/>
              <w:rPr>
                <w:rFonts w:ascii="Times New Roman" w:hAnsi="Times New Roman" w:cs="Times New Roman"/>
                <w:bCs/>
                <w:sz w:val="24"/>
                <w:szCs w:val="24"/>
              </w:rPr>
            </w:pPr>
            <w:r>
              <w:rPr>
                <w:rFonts w:hint="eastAsia" w:ascii="Times New Roman" w:hAnsi="Times New Roman" w:cs="Times New Roman"/>
                <w:bCs/>
                <w:sz w:val="24"/>
                <w:szCs w:val="24"/>
              </w:rPr>
              <w:t>0.035</w:t>
            </w:r>
          </w:p>
        </w:tc>
      </w:tr>
    </w:tbl>
    <w:p>
      <w:pPr>
        <w:widowControl/>
        <w:spacing w:line="360" w:lineRule="auto"/>
        <w:jc w:val="left"/>
        <w:rPr>
          <w:rFonts w:ascii="Calibri" w:hAnsi="Calibri" w:cs="Calibri"/>
          <w:bCs/>
          <w:sz w:val="24"/>
          <w:szCs w:val="24"/>
        </w:rPr>
      </w:pPr>
    </w:p>
    <w:p>
      <w:pPr>
        <w:widowControl/>
        <w:spacing w:line="360" w:lineRule="auto"/>
        <w:jc w:val="left"/>
        <w:rPr>
          <w:rFonts w:ascii="Times New Roman" w:hAnsi="Times New Roman" w:cs="Times New Roman"/>
          <w:bCs/>
          <w:sz w:val="24"/>
          <w:szCs w:val="24"/>
        </w:rPr>
      </w:pPr>
      <w:r>
        <w:rPr>
          <w:rFonts w:ascii="Times New Roman" w:hAnsi="Times New Roman" w:cs="Times New Roman"/>
          <w:bCs/>
          <w:sz w:val="24"/>
          <w:szCs w:val="24"/>
        </w:rPr>
        <w:t>5.</w:t>
      </w:r>
      <w:r>
        <w:rPr>
          <w:rFonts w:hint="eastAsia" w:ascii="Times New Roman" w:hAnsi="Times New Roman" w:cs="Times New Roman"/>
          <w:bCs/>
          <w:sz w:val="24"/>
          <w:szCs w:val="24"/>
        </w:rPr>
        <w:t>2方法精密度和加标回收率的测定</w:t>
      </w:r>
    </w:p>
    <w:p>
      <w:pPr>
        <w:spacing w:line="360" w:lineRule="auto"/>
        <w:ind w:firstLine="480" w:firstLineChars="200"/>
        <w:rPr>
          <w:rFonts w:ascii="Times New Roman" w:hAnsi="Times New Roman" w:eastAsia="宋体" w:cs="Times New Roman"/>
          <w:color w:val="000000" w:themeColor="text1"/>
          <w:sz w:val="24"/>
          <w:szCs w:val="24"/>
        </w:rPr>
      </w:pPr>
      <w:r>
        <w:rPr>
          <w:rFonts w:ascii="Times New Roman" w:hAnsi="Times New Roman" w:cs="Times New Roman"/>
          <w:bCs/>
          <w:sz w:val="24"/>
          <w:szCs w:val="24"/>
        </w:rPr>
        <w:t>本研究设置了低、中、高3组加标水平，在上述空白滤膜样品中进行加标实验，标准油工作溶液浓度为1000 mg/L，加标量分别为50μL、200μL、625μL，按照</w:t>
      </w:r>
      <w:r>
        <w:rPr>
          <w:rFonts w:ascii="Times New Roman" w:hAnsi="Times New Roman" w:cs="Times New Roman"/>
          <w:bCs/>
          <w:color w:val="000000"/>
          <w:sz w:val="24"/>
        </w:rPr>
        <w:t>第三章 4 分析步骤对3组加标样品进行测试，每组独立测试6次，然后分别计算每组的回收率和精密度（RSD）数据。其中回收率R的测定公式为</w:t>
      </w:r>
      <w:r>
        <w:rPr>
          <w:rFonts w:ascii="Times New Roman" w:hAnsi="Times New Roman" w:eastAsia="宋体" w:cs="Times New Roman"/>
          <w:color w:val="000000" w:themeColor="text1"/>
          <w:sz w:val="24"/>
          <w:szCs w:val="24"/>
        </w:rPr>
        <w:t xml:space="preserve"> 回收率R=（C</w:t>
      </w:r>
      <w:r>
        <w:rPr>
          <w:rFonts w:ascii="Times New Roman" w:hAnsi="Times New Roman" w:eastAsia="宋体" w:cs="Times New Roman"/>
          <w:color w:val="000000" w:themeColor="text1"/>
          <w:sz w:val="24"/>
          <w:szCs w:val="24"/>
          <w:vertAlign w:val="subscript"/>
        </w:rPr>
        <w:t>2</w:t>
      </w:r>
      <w:r>
        <w:rPr>
          <w:rFonts w:ascii="Times New Roman" w:hAnsi="Times New Roman" w:eastAsia="宋体" w:cs="Times New Roman"/>
          <w:color w:val="000000" w:themeColor="text1"/>
          <w:sz w:val="24"/>
          <w:szCs w:val="24"/>
        </w:rPr>
        <w:t>-C</w:t>
      </w:r>
      <w:r>
        <w:rPr>
          <w:rFonts w:ascii="Times New Roman" w:hAnsi="Times New Roman" w:eastAsia="宋体" w:cs="Times New Roman"/>
          <w:color w:val="000000" w:themeColor="text1"/>
          <w:sz w:val="24"/>
          <w:szCs w:val="24"/>
          <w:vertAlign w:val="subscript"/>
        </w:rPr>
        <w:t>1</w:t>
      </w:r>
      <w:r>
        <w:rPr>
          <w:rFonts w:ascii="Times New Roman" w:hAnsi="Times New Roman" w:eastAsia="宋体" w:cs="Times New Roman"/>
          <w:color w:val="000000" w:themeColor="text1"/>
          <w:sz w:val="24"/>
          <w:szCs w:val="24"/>
        </w:rPr>
        <w:t>）</w:t>
      </w:r>
      <w:r>
        <w:rPr>
          <w:rFonts w:ascii="Times New Roman" w:hAnsi="Times New Roman" w:cs="Times New Roman"/>
          <w:bCs/>
          <w:sz w:val="24"/>
          <w:szCs w:val="24"/>
        </w:rPr>
        <w:t>×</w:t>
      </w:r>
      <w:r>
        <w:rPr>
          <w:rFonts w:ascii="Times New Roman" w:hAnsi="Times New Roman" w:eastAsia="宋体" w:cs="Times New Roman"/>
          <w:color w:val="000000" w:themeColor="text1"/>
          <w:sz w:val="24"/>
          <w:szCs w:val="24"/>
        </w:rPr>
        <w:t>100%/C</w:t>
      </w:r>
      <w:r>
        <w:rPr>
          <w:rFonts w:ascii="Times New Roman" w:hAnsi="Times New Roman" w:eastAsia="宋体" w:cs="Times New Roman"/>
          <w:color w:val="000000" w:themeColor="text1"/>
          <w:sz w:val="24"/>
          <w:szCs w:val="24"/>
          <w:vertAlign w:val="subscript"/>
        </w:rPr>
        <w:t>3</w:t>
      </w:r>
      <w:r>
        <w:rPr>
          <w:rFonts w:ascii="Times New Roman" w:hAnsi="Times New Roman" w:eastAsia="宋体" w:cs="Times New Roman"/>
          <w:color w:val="000000" w:themeColor="text1"/>
          <w:sz w:val="24"/>
          <w:szCs w:val="24"/>
        </w:rPr>
        <w:t>，其中C</w:t>
      </w:r>
      <w:r>
        <w:rPr>
          <w:rFonts w:ascii="Times New Roman" w:hAnsi="Times New Roman" w:eastAsia="宋体" w:cs="Times New Roman"/>
          <w:color w:val="000000" w:themeColor="text1"/>
          <w:sz w:val="24"/>
          <w:szCs w:val="24"/>
          <w:vertAlign w:val="subscript"/>
        </w:rPr>
        <w:t>1</w:t>
      </w:r>
      <w:r>
        <w:rPr>
          <w:rFonts w:ascii="Times New Roman" w:hAnsi="Times New Roman" w:eastAsia="宋体" w:cs="Times New Roman"/>
          <w:color w:val="000000" w:themeColor="text1"/>
          <w:sz w:val="24"/>
          <w:szCs w:val="24"/>
        </w:rPr>
        <w:t>为加标之前测定的浓度，</w:t>
      </w:r>
      <w:r>
        <w:rPr>
          <w:rFonts w:ascii="Times New Roman" w:hAnsi="Times New Roman" w:cs="Times New Roman"/>
          <w:bCs/>
          <w:sz w:val="24"/>
          <w:szCs w:val="24"/>
        </w:rPr>
        <w:t>经随机抽取本批次空白滤膜进行试验验证，所有聚四氟乙烯空白滤膜的检测结果均低于方法检出限，为方便统计计算，本次加标试验样品中初始油雾浓度均以0计，即</w:t>
      </w:r>
      <w:r>
        <w:rPr>
          <w:rFonts w:ascii="Times New Roman" w:hAnsi="Times New Roman" w:eastAsia="宋体" w:cs="Times New Roman"/>
          <w:color w:val="000000" w:themeColor="text1"/>
          <w:sz w:val="24"/>
          <w:szCs w:val="24"/>
        </w:rPr>
        <w:t>C</w:t>
      </w:r>
      <w:r>
        <w:rPr>
          <w:rFonts w:ascii="Times New Roman" w:hAnsi="Times New Roman" w:eastAsia="宋体" w:cs="Times New Roman"/>
          <w:color w:val="000000" w:themeColor="text1"/>
          <w:sz w:val="24"/>
          <w:szCs w:val="24"/>
          <w:vertAlign w:val="subscript"/>
        </w:rPr>
        <w:t>1</w:t>
      </w:r>
      <w:r>
        <w:rPr>
          <w:rFonts w:ascii="Times New Roman" w:hAnsi="Times New Roman" w:eastAsia="宋体" w:cs="Times New Roman"/>
          <w:color w:val="000000" w:themeColor="text1"/>
          <w:sz w:val="24"/>
          <w:szCs w:val="24"/>
        </w:rPr>
        <w:t>=0。C</w:t>
      </w:r>
      <w:r>
        <w:rPr>
          <w:rFonts w:ascii="Times New Roman" w:hAnsi="Times New Roman" w:eastAsia="宋体" w:cs="Times New Roman"/>
          <w:color w:val="000000" w:themeColor="text1"/>
          <w:sz w:val="24"/>
          <w:szCs w:val="24"/>
          <w:vertAlign w:val="subscript"/>
        </w:rPr>
        <w:t>2</w:t>
      </w:r>
      <w:r>
        <w:rPr>
          <w:rFonts w:ascii="Times New Roman" w:hAnsi="Times New Roman" w:eastAsia="宋体" w:cs="Times New Roman"/>
          <w:color w:val="000000" w:themeColor="text1"/>
          <w:sz w:val="24"/>
          <w:szCs w:val="24"/>
        </w:rPr>
        <w:t>为加标之后测定的浓度，C</w:t>
      </w:r>
      <w:r>
        <w:rPr>
          <w:rFonts w:ascii="Times New Roman" w:hAnsi="Times New Roman" w:eastAsia="宋体" w:cs="Times New Roman"/>
          <w:color w:val="000000" w:themeColor="text1"/>
          <w:sz w:val="24"/>
          <w:szCs w:val="24"/>
          <w:vertAlign w:val="subscript"/>
        </w:rPr>
        <w:t>3</w:t>
      </w:r>
      <w:r>
        <w:rPr>
          <w:rFonts w:ascii="Times New Roman" w:hAnsi="Times New Roman" w:eastAsia="宋体" w:cs="Times New Roman"/>
          <w:color w:val="000000" w:themeColor="text1"/>
          <w:sz w:val="24"/>
          <w:szCs w:val="24"/>
        </w:rPr>
        <w:t>加入目标物的理论浓度。精密度（RSD）则按照6次独立测试数据的相对标准偏差进行计算。</w:t>
      </w:r>
    </w:p>
    <w:p>
      <w:pPr>
        <w:spacing w:line="360" w:lineRule="auto"/>
        <w:ind w:firstLine="480" w:firstLineChars="200"/>
        <w:rPr>
          <w:rFonts w:ascii="Times New Roman" w:hAnsi="Times New Roman" w:eastAsia="宋体" w:cs="Times New Roman"/>
          <w:color w:val="000000" w:themeColor="text1"/>
          <w:sz w:val="24"/>
          <w:szCs w:val="24"/>
        </w:rPr>
      </w:pPr>
      <w:r>
        <w:rPr>
          <w:rFonts w:ascii="Times New Roman" w:hAnsi="Times New Roman" w:eastAsia="宋体" w:cs="Times New Roman"/>
          <w:color w:val="000000" w:themeColor="text1"/>
          <w:kern w:val="0"/>
          <w:sz w:val="24"/>
          <w:szCs w:val="24"/>
        </w:rPr>
        <w:t>本实验室精密度和回收率的测试结果见表3。</w:t>
      </w:r>
      <w:r>
        <w:rPr>
          <w:rFonts w:ascii="Times New Roman" w:hAnsi="Times New Roman" w:eastAsia="宋体" w:cs="Times New Roman"/>
          <w:color w:val="000000" w:themeColor="text1"/>
          <w:sz w:val="24"/>
          <w:szCs w:val="24"/>
        </w:rPr>
        <w:t>三组加标样品的加标回收率在90.6％~101.3％的范围内，测定的精密度（即相对标准偏差RSD）在1.988％~3.681％的范围内，满足</w:t>
      </w:r>
      <w:r>
        <w:rPr>
          <w:rFonts w:ascii="Times New Roman" w:hAnsi="Times New Roman" w:cs="Times New Roman"/>
          <w:bCs/>
          <w:sz w:val="24"/>
          <w:szCs w:val="24"/>
        </w:rPr>
        <w:t>HJ 168-202《环境监测 分析方法标准制修订技术导则》对</w:t>
      </w:r>
      <w:r>
        <w:rPr>
          <w:rFonts w:ascii="Times New Roman" w:hAnsi="Times New Roman" w:eastAsia="宋体" w:cs="Times New Roman"/>
          <w:color w:val="000000" w:themeColor="text1"/>
          <w:sz w:val="24"/>
          <w:szCs w:val="24"/>
        </w:rPr>
        <w:t>回收率和精密度的要求，即样品测试浓度在0.05~30 mg/m</w:t>
      </w:r>
      <w:r>
        <w:rPr>
          <w:rFonts w:ascii="Times New Roman" w:hAnsi="Times New Roman" w:eastAsia="宋体" w:cs="Times New Roman"/>
          <w:color w:val="000000" w:themeColor="text1"/>
          <w:sz w:val="24"/>
          <w:szCs w:val="24"/>
          <w:vertAlign w:val="superscript"/>
        </w:rPr>
        <w:t>3</w:t>
      </w:r>
      <w:r>
        <w:rPr>
          <w:rFonts w:ascii="Times New Roman" w:hAnsi="Times New Roman" w:eastAsia="宋体" w:cs="Times New Roman"/>
          <w:color w:val="000000" w:themeColor="text1"/>
          <w:sz w:val="24"/>
          <w:szCs w:val="24"/>
        </w:rPr>
        <w:t>的范围内，方法回收率允许范围为90%~110%，精密度允许范围为5% 以内。</w:t>
      </w:r>
    </w:p>
    <w:p>
      <w:pPr>
        <w:jc w:val="center"/>
        <w:rPr>
          <w:rFonts w:ascii="Calibri" w:hAnsi="Calibri" w:eastAsia="宋体" w:cs="Times New Roman"/>
          <w:szCs w:val="21"/>
        </w:rPr>
      </w:pPr>
      <w:r>
        <w:rPr>
          <w:rFonts w:hint="eastAsia" w:ascii="Calibri" w:hAnsi="Calibri" w:eastAsia="宋体" w:cs="Times New Roman"/>
          <w:szCs w:val="21"/>
        </w:rPr>
        <w:t>表3聚四氟乙烯空白滤膜加标的精密度和回收率测定数据表</w:t>
      </w:r>
    </w:p>
    <w:tbl>
      <w:tblPr>
        <w:tblStyle w:val="9"/>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959"/>
        <w:gridCol w:w="809"/>
        <w:gridCol w:w="1830"/>
        <w:gridCol w:w="1962"/>
        <w:gridCol w:w="196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86" w:hRule="exact"/>
        </w:trPr>
        <w:tc>
          <w:tcPr>
            <w:tcW w:w="1623" w:type="pct"/>
            <w:gridSpan w:val="2"/>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sz w:val="24"/>
                <w:szCs w:val="24"/>
              </w:rPr>
            </w:pPr>
            <w:r>
              <w:rPr>
                <w:rFonts w:ascii="Times New Roman" w:hAnsi="Times New Roman" w:eastAsia="宋体" w:cs="Times New Roman"/>
                <w:color w:val="000000"/>
                <w:kern w:val="0"/>
                <w:sz w:val="24"/>
                <w:szCs w:val="24"/>
              </w:rPr>
              <w:t>平行次数</w:t>
            </w:r>
          </w:p>
        </w:tc>
        <w:tc>
          <w:tcPr>
            <w:tcW w:w="1073" w:type="pct"/>
            <w:tcBorders>
              <w:tl2br w:val="nil"/>
              <w:tr2bl w:val="nil"/>
            </w:tcBorders>
            <w:shd w:val="clear" w:color="auto" w:fill="auto"/>
            <w:noWrap/>
            <w:vAlign w:val="center"/>
          </w:tcPr>
          <w:p>
            <w:pPr>
              <w:widowControl/>
              <w:spacing w:line="300" w:lineRule="exact"/>
              <w:jc w:val="center"/>
              <w:textAlignment w:val="center"/>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低浓度</w:t>
            </w:r>
          </w:p>
          <w:p>
            <w:pPr>
              <w:widowControl/>
              <w:spacing w:line="300" w:lineRule="exact"/>
              <w:jc w:val="center"/>
              <w:textAlignment w:val="center"/>
              <w:rPr>
                <w:rFonts w:ascii="Times New Roman" w:hAnsi="Times New Roman" w:eastAsia="宋体" w:cs="Times New Roman"/>
                <w:color w:val="000000"/>
                <w:sz w:val="24"/>
                <w:szCs w:val="24"/>
              </w:rPr>
            </w:pPr>
            <w:r>
              <w:rPr>
                <w:rFonts w:ascii="Times New Roman" w:hAnsi="Times New Roman" w:eastAsia="宋体" w:cs="Times New Roman"/>
                <w:color w:val="000000"/>
                <w:kern w:val="0"/>
                <w:sz w:val="24"/>
                <w:szCs w:val="24"/>
              </w:rPr>
              <w:t>加标</w:t>
            </w:r>
            <w:r>
              <w:rPr>
                <w:rFonts w:hint="eastAsia" w:ascii="Times New Roman" w:hAnsi="Times New Roman" w:eastAsia="宋体" w:cs="Times New Roman"/>
                <w:color w:val="000000"/>
                <w:kern w:val="0"/>
                <w:sz w:val="24"/>
                <w:szCs w:val="24"/>
              </w:rPr>
              <w:t>（50</w:t>
            </w:r>
            <w:r>
              <w:rPr>
                <w:rFonts w:ascii="Times New Roman" w:hAnsi="Times New Roman" w:cs="Times New Roman"/>
                <w:sz w:val="24"/>
                <w:szCs w:val="24"/>
              </w:rPr>
              <w:t>μL</w:t>
            </w:r>
            <w:r>
              <w:rPr>
                <w:rFonts w:hint="eastAsia" w:ascii="Times New Roman" w:hAnsi="Times New Roman" w:eastAsia="宋体" w:cs="Times New Roman"/>
                <w:color w:val="000000"/>
                <w:kern w:val="0"/>
                <w:sz w:val="24"/>
                <w:szCs w:val="24"/>
              </w:rPr>
              <w:t>）</w:t>
            </w:r>
          </w:p>
        </w:tc>
        <w:tc>
          <w:tcPr>
            <w:tcW w:w="1151" w:type="pct"/>
            <w:tcBorders>
              <w:tl2br w:val="nil"/>
              <w:tr2bl w:val="nil"/>
            </w:tcBorders>
            <w:shd w:val="clear" w:color="auto" w:fill="auto"/>
            <w:noWrap/>
            <w:vAlign w:val="center"/>
          </w:tcPr>
          <w:p>
            <w:pPr>
              <w:widowControl/>
              <w:spacing w:line="300" w:lineRule="exact"/>
              <w:jc w:val="center"/>
              <w:textAlignment w:val="center"/>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中浓度</w:t>
            </w:r>
          </w:p>
          <w:p>
            <w:pPr>
              <w:widowControl/>
              <w:spacing w:line="300" w:lineRule="exact"/>
              <w:jc w:val="center"/>
              <w:textAlignment w:val="center"/>
              <w:rPr>
                <w:rFonts w:ascii="Times New Roman" w:hAnsi="Times New Roman" w:eastAsia="宋体" w:cs="Times New Roman"/>
                <w:color w:val="000000"/>
                <w:sz w:val="24"/>
                <w:szCs w:val="24"/>
              </w:rPr>
            </w:pPr>
            <w:r>
              <w:rPr>
                <w:rFonts w:ascii="Times New Roman" w:hAnsi="Times New Roman" w:eastAsia="宋体" w:cs="Times New Roman"/>
                <w:color w:val="000000"/>
                <w:kern w:val="0"/>
                <w:sz w:val="24"/>
                <w:szCs w:val="24"/>
              </w:rPr>
              <w:t>加标</w:t>
            </w:r>
            <w:r>
              <w:rPr>
                <w:rFonts w:hint="eastAsia" w:ascii="Times New Roman" w:hAnsi="Times New Roman" w:eastAsia="宋体" w:cs="Times New Roman"/>
                <w:color w:val="000000"/>
                <w:kern w:val="0"/>
                <w:sz w:val="24"/>
                <w:szCs w:val="24"/>
              </w:rPr>
              <w:t>（200</w:t>
            </w:r>
            <w:r>
              <w:rPr>
                <w:rFonts w:ascii="Times New Roman" w:hAnsi="Times New Roman" w:cs="Times New Roman"/>
                <w:sz w:val="24"/>
                <w:szCs w:val="24"/>
              </w:rPr>
              <w:t>μL</w:t>
            </w:r>
            <w:r>
              <w:rPr>
                <w:rFonts w:hint="eastAsia" w:ascii="Times New Roman" w:hAnsi="Times New Roman" w:eastAsia="宋体" w:cs="Times New Roman"/>
                <w:color w:val="000000"/>
                <w:kern w:val="0"/>
                <w:sz w:val="24"/>
                <w:szCs w:val="24"/>
              </w:rPr>
              <w:t>）</w:t>
            </w:r>
          </w:p>
        </w:tc>
        <w:tc>
          <w:tcPr>
            <w:tcW w:w="1151" w:type="pct"/>
            <w:tcBorders>
              <w:tl2br w:val="nil"/>
              <w:tr2bl w:val="nil"/>
            </w:tcBorders>
            <w:shd w:val="clear" w:color="auto" w:fill="auto"/>
            <w:noWrap/>
            <w:vAlign w:val="center"/>
          </w:tcPr>
          <w:p>
            <w:pPr>
              <w:widowControl/>
              <w:spacing w:line="300" w:lineRule="exact"/>
              <w:jc w:val="center"/>
              <w:textAlignment w:val="center"/>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高浓度</w:t>
            </w:r>
          </w:p>
          <w:p>
            <w:pPr>
              <w:widowControl/>
              <w:spacing w:line="300" w:lineRule="exact"/>
              <w:jc w:val="center"/>
              <w:textAlignment w:val="center"/>
              <w:rPr>
                <w:rFonts w:ascii="Times New Roman" w:hAnsi="Times New Roman" w:eastAsia="宋体" w:cs="Times New Roman"/>
                <w:color w:val="000000"/>
                <w:sz w:val="24"/>
                <w:szCs w:val="24"/>
              </w:rPr>
            </w:pPr>
            <w:r>
              <w:rPr>
                <w:rFonts w:ascii="Times New Roman" w:hAnsi="Times New Roman" w:eastAsia="宋体" w:cs="Times New Roman"/>
                <w:color w:val="000000"/>
                <w:kern w:val="0"/>
                <w:sz w:val="24"/>
                <w:szCs w:val="24"/>
              </w:rPr>
              <w:t>加标</w:t>
            </w:r>
            <w:r>
              <w:rPr>
                <w:rFonts w:hint="eastAsia" w:ascii="Times New Roman" w:hAnsi="Times New Roman" w:eastAsia="宋体" w:cs="Times New Roman"/>
                <w:color w:val="000000"/>
                <w:kern w:val="0"/>
                <w:sz w:val="24"/>
                <w:szCs w:val="24"/>
              </w:rPr>
              <w:t>（625</w:t>
            </w:r>
            <w:r>
              <w:rPr>
                <w:rFonts w:ascii="Times New Roman" w:hAnsi="Times New Roman" w:cs="Times New Roman"/>
                <w:sz w:val="24"/>
                <w:szCs w:val="24"/>
              </w:rPr>
              <w:t>μL</w:t>
            </w:r>
            <w:r>
              <w:rPr>
                <w:rFonts w:hint="eastAsia" w:ascii="Times New Roman" w:hAnsi="Times New Roman" w:eastAsia="宋体" w:cs="Times New Roman"/>
                <w:color w:val="000000"/>
                <w:kern w:val="0"/>
                <w:sz w:val="24"/>
                <w:szCs w:val="24"/>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149" w:type="pct"/>
            <w:vMerge w:val="restart"/>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sz w:val="24"/>
                <w:szCs w:val="24"/>
              </w:rPr>
            </w:pPr>
            <w:bookmarkStart w:id="0" w:name="OLE_LINK1" w:colFirst="4" w:colLast="4"/>
            <w:r>
              <w:rPr>
                <w:rFonts w:ascii="Times New Roman" w:hAnsi="Times New Roman" w:eastAsia="宋体" w:cs="Times New Roman"/>
                <w:color w:val="000000"/>
                <w:kern w:val="0"/>
                <w:sz w:val="24"/>
                <w:szCs w:val="24"/>
              </w:rPr>
              <w:t>测试结果（</w:t>
            </w:r>
            <w:r>
              <w:rPr>
                <w:rFonts w:hint="eastAsia" w:ascii="Times New Roman" w:hAnsi="Times New Roman" w:eastAsia="宋体" w:cs="Times New Roman"/>
                <w:color w:val="000000"/>
                <w:kern w:val="0"/>
                <w:sz w:val="24"/>
                <w:szCs w:val="24"/>
              </w:rPr>
              <w:t>mg/L</w:t>
            </w:r>
            <w:r>
              <w:rPr>
                <w:rFonts w:ascii="Times New Roman" w:hAnsi="Times New Roman" w:eastAsia="宋体" w:cs="Times New Roman"/>
                <w:color w:val="000000"/>
                <w:kern w:val="0"/>
                <w:sz w:val="24"/>
                <w:szCs w:val="24"/>
              </w:rPr>
              <w:t>）</w:t>
            </w:r>
          </w:p>
        </w:tc>
        <w:tc>
          <w:tcPr>
            <w:tcW w:w="474" w:type="pct"/>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sz w:val="24"/>
                <w:szCs w:val="24"/>
              </w:rPr>
            </w:pPr>
            <w:r>
              <w:rPr>
                <w:rFonts w:ascii="Times New Roman" w:hAnsi="Times New Roman" w:eastAsia="宋体" w:cs="Times New Roman"/>
                <w:color w:val="000000"/>
                <w:kern w:val="0"/>
                <w:sz w:val="24"/>
                <w:szCs w:val="24"/>
              </w:rPr>
              <w:t>1</w:t>
            </w:r>
          </w:p>
        </w:tc>
        <w:tc>
          <w:tcPr>
            <w:tcW w:w="1829"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rPr>
              <w:t>2.009</w:t>
            </w:r>
          </w:p>
        </w:tc>
        <w:tc>
          <w:tcPr>
            <w:tcW w:w="1963" w:type="dxa"/>
            <w:tcBorders>
              <w:tl2br w:val="nil"/>
              <w:tr2bl w:val="nil"/>
            </w:tcBorders>
            <w:shd w:val="clear" w:color="auto" w:fill="auto"/>
            <w:noWrap/>
            <w:vAlign w:val="center"/>
          </w:tcPr>
          <w:p>
            <w:pPr>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7.432 </w:t>
            </w:r>
          </w:p>
        </w:tc>
        <w:tc>
          <w:tcPr>
            <w:tcW w:w="1963" w:type="dxa"/>
            <w:tcBorders>
              <w:tl2br w:val="nil"/>
              <w:tr2bl w:val="nil"/>
            </w:tcBorders>
            <w:shd w:val="clear" w:color="auto" w:fill="auto"/>
            <w:noWrap/>
            <w:vAlign w:val="center"/>
          </w:tcPr>
          <w:p>
            <w:pPr>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22.86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149" w:type="pct"/>
            <w:vMerge w:val="continue"/>
            <w:tcBorders>
              <w:tl2br w:val="nil"/>
              <w:tr2bl w:val="nil"/>
            </w:tcBorders>
            <w:shd w:val="clear" w:color="auto" w:fill="auto"/>
            <w:noWrap/>
            <w:vAlign w:val="center"/>
          </w:tcPr>
          <w:p>
            <w:pPr>
              <w:jc w:val="center"/>
              <w:rPr>
                <w:rFonts w:ascii="Times New Roman" w:hAnsi="Times New Roman" w:eastAsia="宋体" w:cs="Times New Roman"/>
                <w:color w:val="000000"/>
                <w:sz w:val="24"/>
                <w:szCs w:val="24"/>
              </w:rPr>
            </w:pPr>
          </w:p>
        </w:tc>
        <w:tc>
          <w:tcPr>
            <w:tcW w:w="474" w:type="pct"/>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sz w:val="24"/>
                <w:szCs w:val="24"/>
              </w:rPr>
            </w:pPr>
            <w:r>
              <w:rPr>
                <w:rFonts w:ascii="Times New Roman" w:hAnsi="Times New Roman" w:eastAsia="宋体" w:cs="Times New Roman"/>
                <w:color w:val="000000"/>
                <w:kern w:val="0"/>
                <w:sz w:val="24"/>
                <w:szCs w:val="24"/>
              </w:rPr>
              <w:t>2</w:t>
            </w:r>
          </w:p>
        </w:tc>
        <w:tc>
          <w:tcPr>
            <w:tcW w:w="1829"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rPr>
              <w:t>1.886</w:t>
            </w:r>
          </w:p>
        </w:tc>
        <w:tc>
          <w:tcPr>
            <w:tcW w:w="1963" w:type="dxa"/>
            <w:tcBorders>
              <w:tl2br w:val="nil"/>
              <w:tr2bl w:val="nil"/>
            </w:tcBorders>
            <w:shd w:val="clear" w:color="auto" w:fill="auto"/>
            <w:noWrap/>
            <w:vAlign w:val="center"/>
          </w:tcPr>
          <w:p>
            <w:pPr>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7.618 </w:t>
            </w:r>
          </w:p>
        </w:tc>
        <w:tc>
          <w:tcPr>
            <w:tcW w:w="1963" w:type="dxa"/>
            <w:tcBorders>
              <w:tl2br w:val="nil"/>
              <w:tr2bl w:val="nil"/>
            </w:tcBorders>
            <w:shd w:val="clear" w:color="auto" w:fill="auto"/>
            <w:noWrap/>
            <w:vAlign w:val="center"/>
          </w:tcPr>
          <w:p>
            <w:pPr>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22.64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149" w:type="pct"/>
            <w:vMerge w:val="continue"/>
            <w:tcBorders>
              <w:tl2br w:val="nil"/>
              <w:tr2bl w:val="nil"/>
            </w:tcBorders>
            <w:shd w:val="clear" w:color="auto" w:fill="auto"/>
            <w:noWrap/>
            <w:vAlign w:val="center"/>
          </w:tcPr>
          <w:p>
            <w:pPr>
              <w:jc w:val="center"/>
              <w:rPr>
                <w:rFonts w:ascii="Times New Roman" w:hAnsi="Times New Roman" w:eastAsia="宋体" w:cs="Times New Roman"/>
                <w:color w:val="000000"/>
                <w:sz w:val="24"/>
                <w:szCs w:val="24"/>
              </w:rPr>
            </w:pPr>
          </w:p>
        </w:tc>
        <w:tc>
          <w:tcPr>
            <w:tcW w:w="474" w:type="pct"/>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sz w:val="24"/>
                <w:szCs w:val="24"/>
              </w:rPr>
            </w:pPr>
            <w:r>
              <w:rPr>
                <w:rFonts w:ascii="Times New Roman" w:hAnsi="Times New Roman" w:eastAsia="宋体" w:cs="Times New Roman"/>
                <w:color w:val="000000"/>
                <w:kern w:val="0"/>
                <w:sz w:val="24"/>
                <w:szCs w:val="24"/>
              </w:rPr>
              <w:t>3</w:t>
            </w:r>
          </w:p>
        </w:tc>
        <w:tc>
          <w:tcPr>
            <w:tcW w:w="1829"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rPr>
              <w:t>1.821</w:t>
            </w:r>
          </w:p>
        </w:tc>
        <w:tc>
          <w:tcPr>
            <w:tcW w:w="1963" w:type="dxa"/>
            <w:tcBorders>
              <w:tl2br w:val="nil"/>
              <w:tr2bl w:val="nil"/>
            </w:tcBorders>
            <w:shd w:val="clear" w:color="auto" w:fill="auto"/>
            <w:noWrap/>
            <w:vAlign w:val="center"/>
          </w:tcPr>
          <w:p>
            <w:pPr>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7.828 </w:t>
            </w:r>
          </w:p>
        </w:tc>
        <w:tc>
          <w:tcPr>
            <w:tcW w:w="1963" w:type="dxa"/>
            <w:tcBorders>
              <w:tl2br w:val="nil"/>
              <w:tr2bl w:val="nil"/>
            </w:tcBorders>
            <w:shd w:val="clear" w:color="auto" w:fill="auto"/>
            <w:noWrap/>
            <w:vAlign w:val="center"/>
          </w:tcPr>
          <w:p>
            <w:pPr>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22.78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149" w:type="pct"/>
            <w:vMerge w:val="continue"/>
            <w:tcBorders>
              <w:tl2br w:val="nil"/>
              <w:tr2bl w:val="nil"/>
            </w:tcBorders>
            <w:shd w:val="clear" w:color="auto" w:fill="auto"/>
            <w:noWrap/>
            <w:vAlign w:val="center"/>
          </w:tcPr>
          <w:p>
            <w:pPr>
              <w:jc w:val="center"/>
              <w:rPr>
                <w:rFonts w:ascii="Times New Roman" w:hAnsi="Times New Roman" w:eastAsia="宋体" w:cs="Times New Roman"/>
                <w:color w:val="000000"/>
                <w:sz w:val="24"/>
                <w:szCs w:val="24"/>
              </w:rPr>
            </w:pPr>
          </w:p>
        </w:tc>
        <w:tc>
          <w:tcPr>
            <w:tcW w:w="474" w:type="pct"/>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sz w:val="24"/>
                <w:szCs w:val="24"/>
              </w:rPr>
            </w:pPr>
            <w:r>
              <w:rPr>
                <w:rFonts w:ascii="Times New Roman" w:hAnsi="Times New Roman" w:eastAsia="宋体" w:cs="Times New Roman"/>
                <w:color w:val="000000"/>
                <w:kern w:val="0"/>
                <w:sz w:val="24"/>
                <w:szCs w:val="24"/>
              </w:rPr>
              <w:t>4</w:t>
            </w:r>
          </w:p>
        </w:tc>
        <w:tc>
          <w:tcPr>
            <w:tcW w:w="1829"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rPr>
              <w:t>1.846</w:t>
            </w:r>
          </w:p>
        </w:tc>
        <w:tc>
          <w:tcPr>
            <w:tcW w:w="1963" w:type="dxa"/>
            <w:tcBorders>
              <w:tl2br w:val="nil"/>
              <w:tr2bl w:val="nil"/>
            </w:tcBorders>
            <w:shd w:val="clear" w:color="auto" w:fill="auto"/>
            <w:noWrap/>
            <w:vAlign w:val="center"/>
          </w:tcPr>
          <w:p>
            <w:pPr>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8.102 </w:t>
            </w:r>
          </w:p>
        </w:tc>
        <w:tc>
          <w:tcPr>
            <w:tcW w:w="1963" w:type="dxa"/>
            <w:tcBorders>
              <w:tl2br w:val="nil"/>
              <w:tr2bl w:val="nil"/>
            </w:tcBorders>
            <w:shd w:val="clear" w:color="auto" w:fill="auto"/>
            <w:noWrap/>
            <w:vAlign w:val="center"/>
          </w:tcPr>
          <w:p>
            <w:pPr>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23.20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149" w:type="pct"/>
            <w:vMerge w:val="continue"/>
            <w:tcBorders>
              <w:tl2br w:val="nil"/>
              <w:tr2bl w:val="nil"/>
            </w:tcBorders>
            <w:shd w:val="clear" w:color="auto" w:fill="auto"/>
            <w:noWrap/>
            <w:vAlign w:val="center"/>
          </w:tcPr>
          <w:p>
            <w:pPr>
              <w:jc w:val="center"/>
              <w:rPr>
                <w:rFonts w:ascii="Times New Roman" w:hAnsi="Times New Roman" w:eastAsia="宋体" w:cs="Times New Roman"/>
                <w:color w:val="000000"/>
                <w:sz w:val="24"/>
                <w:szCs w:val="24"/>
              </w:rPr>
            </w:pPr>
          </w:p>
        </w:tc>
        <w:tc>
          <w:tcPr>
            <w:tcW w:w="474" w:type="pct"/>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sz w:val="24"/>
                <w:szCs w:val="24"/>
              </w:rPr>
            </w:pPr>
            <w:r>
              <w:rPr>
                <w:rFonts w:ascii="Times New Roman" w:hAnsi="Times New Roman" w:eastAsia="宋体" w:cs="Times New Roman"/>
                <w:color w:val="000000"/>
                <w:kern w:val="0"/>
                <w:sz w:val="24"/>
                <w:szCs w:val="24"/>
              </w:rPr>
              <w:t>5</w:t>
            </w:r>
          </w:p>
        </w:tc>
        <w:tc>
          <w:tcPr>
            <w:tcW w:w="1829"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rPr>
              <w:t>1.852</w:t>
            </w:r>
          </w:p>
        </w:tc>
        <w:tc>
          <w:tcPr>
            <w:tcW w:w="1963" w:type="dxa"/>
            <w:tcBorders>
              <w:tl2br w:val="nil"/>
              <w:tr2bl w:val="nil"/>
            </w:tcBorders>
            <w:shd w:val="clear" w:color="auto" w:fill="auto"/>
            <w:noWrap/>
            <w:vAlign w:val="center"/>
          </w:tcPr>
          <w:p>
            <w:pPr>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7.864 </w:t>
            </w:r>
          </w:p>
        </w:tc>
        <w:tc>
          <w:tcPr>
            <w:tcW w:w="1963" w:type="dxa"/>
            <w:tcBorders>
              <w:tl2br w:val="nil"/>
              <w:tr2bl w:val="nil"/>
            </w:tcBorders>
            <w:shd w:val="clear" w:color="auto" w:fill="auto"/>
            <w:noWrap/>
            <w:vAlign w:val="center"/>
          </w:tcPr>
          <w:p>
            <w:pPr>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23.86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149" w:type="pct"/>
            <w:vMerge w:val="continue"/>
            <w:tcBorders>
              <w:tl2br w:val="nil"/>
              <w:tr2bl w:val="nil"/>
            </w:tcBorders>
            <w:shd w:val="clear" w:color="auto" w:fill="auto"/>
            <w:noWrap/>
            <w:vAlign w:val="center"/>
          </w:tcPr>
          <w:p>
            <w:pPr>
              <w:jc w:val="center"/>
              <w:rPr>
                <w:rFonts w:ascii="Times New Roman" w:hAnsi="Times New Roman" w:eastAsia="宋体" w:cs="Times New Roman"/>
                <w:color w:val="000000"/>
                <w:sz w:val="24"/>
                <w:szCs w:val="24"/>
              </w:rPr>
            </w:pPr>
          </w:p>
        </w:tc>
        <w:tc>
          <w:tcPr>
            <w:tcW w:w="474" w:type="pct"/>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sz w:val="24"/>
                <w:szCs w:val="24"/>
              </w:rPr>
            </w:pPr>
            <w:r>
              <w:rPr>
                <w:rFonts w:ascii="Times New Roman" w:hAnsi="Times New Roman" w:eastAsia="宋体" w:cs="Times New Roman"/>
                <w:color w:val="000000"/>
                <w:kern w:val="0"/>
                <w:sz w:val="24"/>
                <w:szCs w:val="24"/>
              </w:rPr>
              <w:t>6</w:t>
            </w:r>
          </w:p>
        </w:tc>
        <w:tc>
          <w:tcPr>
            <w:tcW w:w="1829" w:type="dxa"/>
            <w:tcBorders>
              <w:tl2br w:val="nil"/>
              <w:tr2bl w:val="nil"/>
            </w:tcBorders>
            <w:shd w:val="clear" w:color="auto" w:fill="auto"/>
            <w:noWrap/>
            <w:vAlign w:val="center"/>
          </w:tcPr>
          <w:p>
            <w:pPr>
              <w:widowControl/>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rPr>
              <w:t>1.868</w:t>
            </w:r>
          </w:p>
        </w:tc>
        <w:tc>
          <w:tcPr>
            <w:tcW w:w="1963" w:type="dxa"/>
            <w:tcBorders>
              <w:tl2br w:val="nil"/>
              <w:tr2bl w:val="nil"/>
            </w:tcBorders>
            <w:shd w:val="clear" w:color="auto" w:fill="auto"/>
            <w:noWrap/>
            <w:vAlign w:val="center"/>
          </w:tcPr>
          <w:p>
            <w:pPr>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7.356 </w:t>
            </w:r>
          </w:p>
        </w:tc>
        <w:tc>
          <w:tcPr>
            <w:tcW w:w="1963" w:type="dxa"/>
            <w:tcBorders>
              <w:tl2br w:val="nil"/>
              <w:tr2bl w:val="nil"/>
            </w:tcBorders>
            <w:shd w:val="clear" w:color="auto" w:fill="auto"/>
            <w:noWrap/>
            <w:vAlign w:val="center"/>
          </w:tcPr>
          <w:p>
            <w:pPr>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23.42 </w:t>
            </w:r>
          </w:p>
        </w:tc>
      </w:tr>
      <w:bookmarkEnd w:id="0"/>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623" w:type="pct"/>
            <w:gridSpan w:val="2"/>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sz w:val="24"/>
                <w:szCs w:val="24"/>
              </w:rPr>
            </w:pPr>
            <w:r>
              <w:rPr>
                <w:rFonts w:ascii="Times New Roman" w:hAnsi="Times New Roman" w:eastAsia="宋体" w:cs="Times New Roman"/>
                <w:color w:val="000000"/>
                <w:kern w:val="0"/>
                <w:sz w:val="24"/>
                <w:szCs w:val="24"/>
              </w:rPr>
              <w:t>平均值（</w:t>
            </w:r>
            <w:r>
              <w:rPr>
                <w:rFonts w:hint="eastAsia" w:ascii="Times New Roman" w:hAnsi="Times New Roman" w:eastAsia="宋体" w:cs="Times New Roman"/>
                <w:color w:val="000000"/>
                <w:kern w:val="0"/>
                <w:sz w:val="24"/>
                <w:szCs w:val="24"/>
              </w:rPr>
              <w:t>mg/L</w:t>
            </w:r>
            <w:r>
              <w:rPr>
                <w:rFonts w:ascii="Times New Roman" w:hAnsi="Times New Roman" w:eastAsia="宋体" w:cs="Times New Roman"/>
                <w:color w:val="000000"/>
                <w:kern w:val="0"/>
                <w:sz w:val="24"/>
                <w:szCs w:val="24"/>
              </w:rPr>
              <w:t>）</w:t>
            </w:r>
          </w:p>
        </w:tc>
        <w:tc>
          <w:tcPr>
            <w:tcW w:w="1073" w:type="pct"/>
            <w:tcBorders>
              <w:tl2br w:val="nil"/>
              <w:tr2bl w:val="nil"/>
            </w:tcBorders>
            <w:shd w:val="clear" w:color="auto" w:fill="auto"/>
            <w:noWrap/>
            <w:vAlign w:val="center"/>
          </w:tcPr>
          <w:p>
            <w:pPr>
              <w:widowControl/>
              <w:jc w:val="center"/>
              <w:textAlignment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1.880</w:t>
            </w:r>
          </w:p>
        </w:tc>
        <w:tc>
          <w:tcPr>
            <w:tcW w:w="1151" w:type="pct"/>
            <w:tcBorders>
              <w:tl2br w:val="nil"/>
              <w:tr2bl w:val="nil"/>
            </w:tcBorders>
            <w:shd w:val="clear" w:color="auto" w:fill="auto"/>
            <w:noWrap/>
            <w:vAlign w:val="center"/>
          </w:tcPr>
          <w:p>
            <w:pPr>
              <w:jc w:val="center"/>
              <w:textAlignment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7.700</w:t>
            </w:r>
          </w:p>
        </w:tc>
        <w:tc>
          <w:tcPr>
            <w:tcW w:w="1151" w:type="pct"/>
            <w:tcBorders>
              <w:tl2br w:val="nil"/>
              <w:tr2bl w:val="nil"/>
            </w:tcBorders>
            <w:shd w:val="clear" w:color="auto" w:fill="auto"/>
            <w:noWrap/>
            <w:vAlign w:val="center"/>
          </w:tcPr>
          <w:p>
            <w:pPr>
              <w:jc w:val="center"/>
              <w:textAlignment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23.127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623" w:type="pct"/>
            <w:gridSpan w:val="2"/>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sz w:val="24"/>
                <w:szCs w:val="24"/>
              </w:rPr>
            </w:pPr>
            <w:r>
              <w:rPr>
                <w:rFonts w:ascii="Times New Roman" w:hAnsi="Times New Roman" w:eastAsia="宋体" w:cs="Times New Roman"/>
                <w:color w:val="000000"/>
                <w:kern w:val="0"/>
                <w:sz w:val="24"/>
                <w:szCs w:val="24"/>
              </w:rPr>
              <w:t>精密度（%）</w:t>
            </w:r>
          </w:p>
        </w:tc>
        <w:tc>
          <w:tcPr>
            <w:tcW w:w="1073" w:type="pct"/>
            <w:tcBorders>
              <w:tl2br w:val="nil"/>
              <w:tr2bl w:val="nil"/>
            </w:tcBorders>
            <w:shd w:val="clear" w:color="auto" w:fill="auto"/>
            <w:noWrap/>
            <w:vAlign w:val="center"/>
          </w:tcPr>
          <w:p>
            <w:pPr>
              <w:widowControl/>
              <w:jc w:val="center"/>
              <w:textAlignment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3.547</w:t>
            </w:r>
          </w:p>
        </w:tc>
        <w:tc>
          <w:tcPr>
            <w:tcW w:w="1151" w:type="pct"/>
            <w:tcBorders>
              <w:tl2br w:val="nil"/>
              <w:tr2bl w:val="nil"/>
            </w:tcBorders>
            <w:shd w:val="clear" w:color="auto" w:fill="auto"/>
            <w:noWrap/>
            <w:vAlign w:val="center"/>
          </w:tcPr>
          <w:p>
            <w:pPr>
              <w:jc w:val="center"/>
              <w:textAlignment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3.681</w:t>
            </w:r>
          </w:p>
        </w:tc>
        <w:tc>
          <w:tcPr>
            <w:tcW w:w="1151" w:type="pct"/>
            <w:tcBorders>
              <w:tl2br w:val="nil"/>
              <w:tr2bl w:val="nil"/>
            </w:tcBorders>
            <w:shd w:val="clear" w:color="auto" w:fill="auto"/>
            <w:noWrap/>
            <w:vAlign w:val="center"/>
          </w:tcPr>
          <w:p>
            <w:pPr>
              <w:jc w:val="center"/>
              <w:textAlignment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1.988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623" w:type="pct"/>
            <w:gridSpan w:val="2"/>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sz w:val="24"/>
                <w:szCs w:val="24"/>
              </w:rPr>
            </w:pPr>
            <w:r>
              <w:rPr>
                <w:rFonts w:ascii="Times New Roman" w:hAnsi="Times New Roman" w:eastAsia="宋体" w:cs="Times New Roman"/>
                <w:color w:val="000000"/>
                <w:kern w:val="0"/>
                <w:sz w:val="24"/>
                <w:szCs w:val="24"/>
              </w:rPr>
              <w:t>加标量（</w:t>
            </w:r>
            <w:r>
              <w:rPr>
                <w:rFonts w:hint="eastAsia" w:ascii="Times New Roman" w:hAnsi="Times New Roman" w:eastAsia="宋体" w:cs="Times New Roman"/>
                <w:color w:val="000000"/>
                <w:kern w:val="0"/>
                <w:sz w:val="24"/>
                <w:szCs w:val="24"/>
              </w:rPr>
              <w:t>mg/L</w:t>
            </w:r>
            <w:r>
              <w:rPr>
                <w:rFonts w:ascii="Times New Roman" w:hAnsi="Times New Roman" w:eastAsia="宋体" w:cs="Times New Roman"/>
                <w:color w:val="000000"/>
                <w:kern w:val="0"/>
                <w:sz w:val="24"/>
                <w:szCs w:val="24"/>
              </w:rPr>
              <w:t>）</w:t>
            </w:r>
          </w:p>
        </w:tc>
        <w:tc>
          <w:tcPr>
            <w:tcW w:w="1073" w:type="pct"/>
            <w:tcBorders>
              <w:tl2br w:val="nil"/>
              <w:tr2bl w:val="nil"/>
            </w:tcBorders>
            <w:shd w:val="clear" w:color="auto" w:fill="auto"/>
            <w:noWrap/>
            <w:vAlign w:val="center"/>
          </w:tcPr>
          <w:p>
            <w:pPr>
              <w:widowControl/>
              <w:jc w:val="center"/>
              <w:textAlignment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2.0</w:t>
            </w:r>
          </w:p>
        </w:tc>
        <w:tc>
          <w:tcPr>
            <w:tcW w:w="1151" w:type="pct"/>
            <w:tcBorders>
              <w:tl2br w:val="nil"/>
              <w:tr2bl w:val="nil"/>
            </w:tcBorders>
            <w:shd w:val="clear" w:color="auto" w:fill="auto"/>
            <w:noWrap/>
            <w:vAlign w:val="center"/>
          </w:tcPr>
          <w:p>
            <w:pPr>
              <w:widowControl/>
              <w:jc w:val="center"/>
              <w:textAlignment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8.0</w:t>
            </w:r>
          </w:p>
        </w:tc>
        <w:tc>
          <w:tcPr>
            <w:tcW w:w="1151" w:type="pct"/>
            <w:tcBorders>
              <w:tl2br w:val="nil"/>
              <w:tr2bl w:val="nil"/>
            </w:tcBorders>
            <w:shd w:val="clear" w:color="auto" w:fill="auto"/>
            <w:noWrap/>
            <w:vAlign w:val="center"/>
          </w:tcPr>
          <w:p>
            <w:pPr>
              <w:widowControl/>
              <w:jc w:val="center"/>
              <w:textAlignment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623" w:type="pct"/>
            <w:gridSpan w:val="2"/>
            <w:tcBorders>
              <w:tl2br w:val="nil"/>
              <w:tr2bl w:val="nil"/>
            </w:tcBorders>
            <w:shd w:val="clear" w:color="auto" w:fill="auto"/>
            <w:noWrap/>
            <w:vAlign w:val="center"/>
          </w:tcPr>
          <w:p>
            <w:pPr>
              <w:widowControl/>
              <w:jc w:val="center"/>
              <w:textAlignment w:val="center"/>
              <w:rPr>
                <w:rFonts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回收率范围（%）</w:t>
            </w:r>
          </w:p>
        </w:tc>
        <w:tc>
          <w:tcPr>
            <w:tcW w:w="1073" w:type="pct"/>
            <w:tcBorders>
              <w:tl2br w:val="nil"/>
              <w:tr2bl w:val="nil"/>
            </w:tcBorders>
            <w:shd w:val="clear" w:color="auto" w:fill="auto"/>
            <w:noWrap/>
            <w:vAlign w:val="center"/>
          </w:tcPr>
          <w:p>
            <w:pPr>
              <w:widowControl/>
              <w:jc w:val="center"/>
              <w:textAlignment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91.1~100.5</w:t>
            </w:r>
          </w:p>
        </w:tc>
        <w:tc>
          <w:tcPr>
            <w:tcW w:w="1151" w:type="pct"/>
            <w:tcBorders>
              <w:tl2br w:val="nil"/>
              <w:tr2bl w:val="nil"/>
            </w:tcBorders>
            <w:shd w:val="clear" w:color="auto" w:fill="auto"/>
            <w:noWrap/>
            <w:vAlign w:val="center"/>
          </w:tcPr>
          <w:p>
            <w:pPr>
              <w:widowControl/>
              <w:jc w:val="center"/>
              <w:textAlignment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 xml:space="preserve">92.0~101.3 </w:t>
            </w:r>
          </w:p>
        </w:tc>
        <w:tc>
          <w:tcPr>
            <w:tcW w:w="1151" w:type="pct"/>
            <w:tcBorders>
              <w:tl2br w:val="nil"/>
              <w:tr2bl w:val="nil"/>
            </w:tcBorders>
            <w:shd w:val="clear" w:color="auto" w:fill="auto"/>
            <w:noWrap/>
            <w:vAlign w:val="center"/>
          </w:tcPr>
          <w:p>
            <w:pPr>
              <w:widowControl/>
              <w:jc w:val="center"/>
              <w:textAlignment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 xml:space="preserve">90.6~95.4 </w:t>
            </w:r>
          </w:p>
        </w:tc>
      </w:tr>
    </w:tbl>
    <w:p>
      <w:pPr>
        <w:widowControl/>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注：</w:t>
      </w:r>
      <w:r>
        <w:rPr>
          <w:rFonts w:hint="eastAsia" w:ascii="Times New Roman" w:hAnsi="Times New Roman" w:eastAsia="宋体" w:cs="Times New Roman"/>
          <w:color w:val="000000"/>
          <w:kern w:val="0"/>
          <w:szCs w:val="21"/>
        </w:rPr>
        <w:t>1、</w:t>
      </w:r>
      <w:r>
        <w:rPr>
          <w:rFonts w:ascii="Times New Roman" w:hAnsi="Times New Roman" w:eastAsia="宋体" w:cs="Times New Roman"/>
          <w:color w:val="000000"/>
          <w:kern w:val="0"/>
          <w:szCs w:val="21"/>
        </w:rPr>
        <w:t>检出限、精密度和</w:t>
      </w:r>
      <w:r>
        <w:rPr>
          <w:rFonts w:hint="eastAsia" w:ascii="Times New Roman" w:hAnsi="Times New Roman" w:eastAsia="宋体" w:cs="Times New Roman"/>
          <w:color w:val="000000"/>
          <w:kern w:val="0"/>
          <w:szCs w:val="21"/>
        </w:rPr>
        <w:t>回收率</w:t>
      </w:r>
      <w:r>
        <w:rPr>
          <w:rFonts w:ascii="Times New Roman" w:hAnsi="Times New Roman" w:eastAsia="宋体" w:cs="Times New Roman"/>
          <w:color w:val="000000"/>
          <w:kern w:val="0"/>
          <w:szCs w:val="21"/>
        </w:rPr>
        <w:t>的测定参考</w:t>
      </w:r>
      <w:r>
        <w:rPr>
          <w:rFonts w:hint="eastAsia" w:ascii="Times New Roman" w:hAnsi="Times New Roman" w:eastAsia="宋体" w:cs="Times New Roman"/>
          <w:color w:val="000000"/>
          <w:kern w:val="0"/>
          <w:szCs w:val="21"/>
        </w:rPr>
        <w:t>HJ 168-2020；</w:t>
      </w:r>
    </w:p>
    <w:p>
      <w:pPr>
        <w:widowControl/>
        <w:textAlignment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 xml:space="preserve">    2、滤膜加标的标准储藏液浓度为1000 mg/L</w:t>
      </w:r>
      <w:r>
        <w:rPr>
          <w:rFonts w:ascii="Times New Roman" w:hAnsi="Times New Roman" w:eastAsia="宋体" w:cs="Times New Roman"/>
          <w:color w:val="000000"/>
          <w:kern w:val="0"/>
          <w:szCs w:val="21"/>
        </w:rPr>
        <w:t>。</w:t>
      </w:r>
    </w:p>
    <w:p>
      <w:pPr>
        <w:spacing w:line="360" w:lineRule="auto"/>
        <w:rPr>
          <w:rFonts w:ascii="Times New Roman" w:hAnsi="Times New Roman" w:eastAsia="宋体" w:cs="Times New Roman"/>
          <w:color w:val="000000" w:themeColor="text1"/>
          <w:sz w:val="24"/>
          <w:szCs w:val="24"/>
        </w:rPr>
      </w:pPr>
      <w:r>
        <w:rPr>
          <w:rFonts w:ascii="Times New Roman" w:hAnsi="Times New Roman" w:cs="Times New Roman"/>
          <w:bCs/>
          <w:sz w:val="24"/>
          <w:szCs w:val="24"/>
        </w:rPr>
        <w:t>5.</w:t>
      </w:r>
      <w:r>
        <w:rPr>
          <w:rFonts w:hint="eastAsia" w:ascii="Times New Roman" w:hAnsi="Times New Roman" w:cs="Times New Roman"/>
          <w:bCs/>
          <w:sz w:val="24"/>
          <w:szCs w:val="24"/>
        </w:rPr>
        <w:t>3</w:t>
      </w:r>
      <w:r>
        <w:rPr>
          <w:rFonts w:ascii="Times New Roman" w:hAnsi="Times New Roman" w:cs="Times New Roman"/>
          <w:bCs/>
          <w:sz w:val="24"/>
          <w:szCs w:val="24"/>
        </w:rPr>
        <w:t xml:space="preserve"> 实验室间的协同验证</w:t>
      </w:r>
    </w:p>
    <w:p>
      <w:pPr>
        <w:tabs>
          <w:tab w:val="left" w:pos="636"/>
        </w:tabs>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为了验证本标准方法的适用性，选取了不同地区，具备相应设备和能力的实验室开展了协同验证。共选取了6家实验室，分别为湖北华信中正检测技术有限公司（序号1）、武汉海关技术中心襄阳检测实验室（序号2）、武汉仲联诚鉴检测技术有限公司（序号3）、湖北科艾乐检测科技有限公司（序号4）、湖北省纤维检验局（序号5）、中检（深圳）环境技术服务有限公司（序号6）。各实验室详细方法验证数据见附件方法验证报告1-6。表4提供了每家实验室的汇总数据。</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 xml:space="preserve">从表4数据可得，6家实验室所测得数据有较好的一致性，检出限范围在0.038 </w:t>
      </w:r>
      <w:r>
        <w:rPr>
          <w:rFonts w:ascii="Times New Roman" w:hAnsi="Times New Roman" w:eastAsia="宋体" w:cs="Times New Roman"/>
          <w:color w:val="000000" w:themeColor="text1"/>
          <w:sz w:val="24"/>
          <w:szCs w:val="24"/>
        </w:rPr>
        <w:t>mg/m</w:t>
      </w:r>
      <w:r>
        <w:rPr>
          <w:rFonts w:ascii="Times New Roman" w:hAnsi="Times New Roman" w:eastAsia="宋体" w:cs="Times New Roman"/>
          <w:color w:val="000000" w:themeColor="text1"/>
          <w:sz w:val="24"/>
          <w:szCs w:val="24"/>
          <w:vertAlign w:val="superscript"/>
        </w:rPr>
        <w:t>3</w:t>
      </w:r>
      <w:r>
        <w:rPr>
          <w:rFonts w:ascii="Times New Roman" w:hAnsi="Times New Roman" w:eastAsia="宋体" w:cs="Times New Roman"/>
          <w:sz w:val="24"/>
          <w:szCs w:val="24"/>
        </w:rPr>
        <w:t xml:space="preserve">~0.048 </w:t>
      </w:r>
      <w:r>
        <w:rPr>
          <w:rFonts w:ascii="Times New Roman" w:hAnsi="Times New Roman" w:eastAsia="宋体" w:cs="Times New Roman"/>
          <w:color w:val="000000" w:themeColor="text1"/>
          <w:sz w:val="24"/>
          <w:szCs w:val="24"/>
        </w:rPr>
        <w:t>mg/m</w:t>
      </w:r>
      <w:r>
        <w:rPr>
          <w:rFonts w:ascii="Times New Roman" w:hAnsi="Times New Roman" w:eastAsia="宋体" w:cs="Times New Roman"/>
          <w:color w:val="000000" w:themeColor="text1"/>
          <w:sz w:val="24"/>
          <w:szCs w:val="24"/>
          <w:vertAlign w:val="superscript"/>
        </w:rPr>
        <w:t>3</w:t>
      </w:r>
      <w:r>
        <w:rPr>
          <w:rFonts w:ascii="Times New Roman" w:hAnsi="Times New Roman" w:eastAsia="宋体" w:cs="Times New Roman"/>
          <w:sz w:val="24"/>
          <w:szCs w:val="24"/>
        </w:rPr>
        <w:t>，精密度范围在1.117 %~4.934 %，回收率范围在90.0 %~105.6 %，以上数据均满足</w:t>
      </w:r>
      <w:r>
        <w:rPr>
          <w:rFonts w:ascii="Times New Roman" w:hAnsi="Times New Roman" w:cs="Times New Roman"/>
          <w:bCs/>
          <w:sz w:val="24"/>
          <w:szCs w:val="24"/>
        </w:rPr>
        <w:t>HJ 168-202《环境监测 分析方法标准制修订技术导则》对</w:t>
      </w:r>
      <w:r>
        <w:rPr>
          <w:rFonts w:ascii="Times New Roman" w:hAnsi="Times New Roman" w:eastAsia="宋体" w:cs="Times New Roman"/>
          <w:color w:val="000000" w:themeColor="text1"/>
          <w:sz w:val="24"/>
          <w:szCs w:val="24"/>
        </w:rPr>
        <w:t>回收率和精密度的要求，即样品测试浓度在0.05~30 mg/m</w:t>
      </w:r>
      <w:r>
        <w:rPr>
          <w:rFonts w:ascii="Times New Roman" w:hAnsi="Times New Roman" w:eastAsia="宋体" w:cs="Times New Roman"/>
          <w:color w:val="000000" w:themeColor="text1"/>
          <w:sz w:val="24"/>
          <w:szCs w:val="24"/>
          <w:vertAlign w:val="superscript"/>
        </w:rPr>
        <w:t>3</w:t>
      </w:r>
      <w:r>
        <w:rPr>
          <w:rFonts w:ascii="Times New Roman" w:hAnsi="Times New Roman" w:eastAsia="宋体" w:cs="Times New Roman"/>
          <w:color w:val="000000" w:themeColor="text1"/>
          <w:sz w:val="24"/>
          <w:szCs w:val="24"/>
        </w:rPr>
        <w:t>的范围内，方法回收率允许范围为</w:t>
      </w:r>
      <w:r>
        <w:rPr>
          <w:rFonts w:ascii="Times New Roman" w:hAnsi="Times New Roman" w:eastAsia="宋体" w:cs="Times New Roman"/>
          <w:sz w:val="24"/>
          <w:szCs w:val="24"/>
        </w:rPr>
        <w:t>90 %~110 %，精密度允许范围为5 %以内。</w:t>
      </w:r>
    </w:p>
    <w:p>
      <w:pPr>
        <w:spacing w:line="360" w:lineRule="auto"/>
        <w:ind w:firstLine="480" w:firstLineChars="200"/>
        <w:rPr>
          <w:rFonts w:ascii="Times New Roman" w:hAnsi="Times New Roman" w:eastAsia="宋体" w:cs="Times New Roman"/>
          <w:sz w:val="24"/>
          <w:szCs w:val="24"/>
        </w:rPr>
      </w:pPr>
    </w:p>
    <w:p>
      <w:pPr>
        <w:tabs>
          <w:tab w:val="left" w:pos="636"/>
        </w:tabs>
        <w:spacing w:line="360" w:lineRule="auto"/>
        <w:jc w:val="center"/>
        <w:rPr>
          <w:rFonts w:ascii="宋体" w:hAnsi="宋体" w:eastAsia="宋体" w:cs="宋体"/>
          <w:sz w:val="24"/>
          <w:szCs w:val="24"/>
        </w:rPr>
      </w:pPr>
      <w:r>
        <w:rPr>
          <w:rFonts w:hint="eastAsia" w:ascii="宋体" w:hAnsi="宋体" w:eastAsia="宋体" w:cs="宋体"/>
          <w:sz w:val="24"/>
          <w:szCs w:val="24"/>
        </w:rPr>
        <w:t>表4 实验室间的协同验证数据汇总表</w:t>
      </w:r>
    </w:p>
    <w:tbl>
      <w:tblPr>
        <w:tblStyle w:val="10"/>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637"/>
        <w:gridCol w:w="1018"/>
        <w:gridCol w:w="983"/>
        <w:gridCol w:w="983"/>
        <w:gridCol w:w="983"/>
        <w:gridCol w:w="1306"/>
        <w:gridCol w:w="1306"/>
        <w:gridCol w:w="130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738" w:type="dxa"/>
            <w:vMerge w:val="restart"/>
            <w:tcBorders>
              <w:tl2br w:val="nil"/>
              <w:tr2bl w:val="nil"/>
            </w:tcBorders>
            <w:vAlign w:val="center"/>
          </w:tcPr>
          <w:p>
            <w:pPr>
              <w:tabs>
                <w:tab w:val="left" w:pos="636"/>
              </w:tabs>
              <w:jc w:val="center"/>
              <w:rPr>
                <w:rFonts w:ascii="宋体" w:hAnsi="宋体" w:eastAsia="宋体" w:cs="宋体"/>
                <w:sz w:val="24"/>
                <w:szCs w:val="24"/>
              </w:rPr>
            </w:pPr>
            <w:r>
              <w:rPr>
                <w:rFonts w:hint="eastAsia" w:ascii="宋体" w:hAnsi="宋体" w:eastAsia="宋体" w:cs="宋体"/>
                <w:sz w:val="24"/>
                <w:szCs w:val="24"/>
              </w:rPr>
              <w:t>序号</w:t>
            </w:r>
          </w:p>
        </w:tc>
        <w:tc>
          <w:tcPr>
            <w:tcW w:w="1110" w:type="dxa"/>
            <w:vMerge w:val="restart"/>
            <w:tcBorders>
              <w:tl2br w:val="nil"/>
              <w:tr2bl w:val="nil"/>
            </w:tcBorders>
            <w:vAlign w:val="center"/>
          </w:tcPr>
          <w:p>
            <w:pPr>
              <w:tabs>
                <w:tab w:val="left" w:pos="636"/>
              </w:tabs>
              <w:jc w:val="center"/>
              <w:rPr>
                <w:rFonts w:ascii="宋体" w:hAnsi="宋体" w:eastAsia="宋体" w:cs="宋体"/>
                <w:sz w:val="24"/>
                <w:szCs w:val="24"/>
              </w:rPr>
            </w:pPr>
            <w:r>
              <w:rPr>
                <w:rFonts w:hint="eastAsia" w:ascii="宋体" w:hAnsi="宋体" w:eastAsia="宋体" w:cs="宋体"/>
                <w:sz w:val="24"/>
                <w:szCs w:val="24"/>
              </w:rPr>
              <w:t>检出限</w:t>
            </w:r>
          </w:p>
          <w:p>
            <w:pPr>
              <w:tabs>
                <w:tab w:val="left" w:pos="636"/>
              </w:tabs>
              <w:jc w:val="center"/>
              <w:rPr>
                <w:rFonts w:ascii="宋体" w:hAnsi="宋体" w:eastAsia="宋体" w:cs="宋体"/>
                <w:sz w:val="24"/>
                <w:szCs w:val="24"/>
              </w:rPr>
            </w:pPr>
            <w:r>
              <w:rPr>
                <w:rFonts w:ascii="Times New Roman" w:hAnsi="Times New Roman" w:eastAsia="宋体" w:cs="Times New Roman"/>
                <w:color w:val="000000" w:themeColor="text1"/>
                <w:sz w:val="24"/>
                <w:szCs w:val="24"/>
              </w:rPr>
              <w:t>mg</w:t>
            </w:r>
            <w:r>
              <w:rPr>
                <w:rFonts w:hint="eastAsia" w:ascii="Times New Roman" w:hAnsi="Times New Roman" w:eastAsia="宋体" w:cs="Times New Roman"/>
                <w:color w:val="000000" w:themeColor="text1"/>
                <w:sz w:val="24"/>
                <w:szCs w:val="24"/>
              </w:rPr>
              <w:t>/m</w:t>
            </w:r>
            <w:r>
              <w:rPr>
                <w:rFonts w:hint="eastAsia" w:ascii="Times New Roman" w:hAnsi="Times New Roman" w:eastAsia="宋体" w:cs="Times New Roman"/>
                <w:color w:val="000000" w:themeColor="text1"/>
                <w:sz w:val="24"/>
                <w:szCs w:val="24"/>
                <w:vertAlign w:val="superscript"/>
              </w:rPr>
              <w:t>3</w:t>
            </w:r>
          </w:p>
        </w:tc>
        <w:tc>
          <w:tcPr>
            <w:tcW w:w="3330" w:type="dxa"/>
            <w:gridSpan w:val="3"/>
            <w:tcBorders>
              <w:tl2br w:val="nil"/>
              <w:tr2bl w:val="nil"/>
            </w:tcBorders>
            <w:vAlign w:val="center"/>
          </w:tcPr>
          <w:p>
            <w:pPr>
              <w:tabs>
                <w:tab w:val="left" w:pos="636"/>
              </w:tabs>
              <w:jc w:val="center"/>
              <w:rPr>
                <w:rFonts w:ascii="Times New Roman" w:hAnsi="Times New Roman" w:eastAsia="宋体" w:cs="Times New Roman"/>
                <w:sz w:val="24"/>
                <w:szCs w:val="24"/>
              </w:rPr>
            </w:pPr>
            <w:r>
              <w:rPr>
                <w:rFonts w:ascii="Times New Roman" w:hAnsi="Times New Roman" w:eastAsia="宋体" w:cs="Times New Roman"/>
                <w:sz w:val="24"/>
                <w:szCs w:val="24"/>
              </w:rPr>
              <w:t>精密度%，n=6</w:t>
            </w:r>
          </w:p>
        </w:tc>
        <w:tc>
          <w:tcPr>
            <w:tcW w:w="3338" w:type="dxa"/>
            <w:gridSpan w:val="3"/>
            <w:tcBorders>
              <w:tl2br w:val="nil"/>
              <w:tr2bl w:val="nil"/>
            </w:tcBorders>
            <w:vAlign w:val="center"/>
          </w:tcPr>
          <w:p>
            <w:pPr>
              <w:tabs>
                <w:tab w:val="left" w:pos="636"/>
              </w:tabs>
              <w:jc w:val="center"/>
              <w:rPr>
                <w:rFonts w:ascii="Times New Roman" w:hAnsi="Times New Roman" w:eastAsia="宋体" w:cs="Times New Roman"/>
                <w:sz w:val="24"/>
                <w:szCs w:val="24"/>
              </w:rPr>
            </w:pPr>
            <w:r>
              <w:rPr>
                <w:rFonts w:ascii="Times New Roman" w:hAnsi="Times New Roman" w:eastAsia="宋体" w:cs="Times New Roman"/>
                <w:sz w:val="24"/>
                <w:szCs w:val="24"/>
              </w:rPr>
              <w:t>回收率%，n=6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738" w:type="dxa"/>
            <w:vMerge w:val="continue"/>
            <w:tcBorders>
              <w:tl2br w:val="nil"/>
              <w:tr2bl w:val="nil"/>
            </w:tcBorders>
            <w:vAlign w:val="center"/>
          </w:tcPr>
          <w:p>
            <w:pPr>
              <w:tabs>
                <w:tab w:val="left" w:pos="636"/>
              </w:tabs>
              <w:jc w:val="center"/>
              <w:rPr>
                <w:rFonts w:ascii="宋体" w:hAnsi="宋体" w:eastAsia="宋体" w:cs="宋体"/>
                <w:sz w:val="24"/>
                <w:szCs w:val="24"/>
              </w:rPr>
            </w:pPr>
          </w:p>
        </w:tc>
        <w:tc>
          <w:tcPr>
            <w:tcW w:w="1110" w:type="dxa"/>
            <w:vMerge w:val="continue"/>
            <w:tcBorders>
              <w:tl2br w:val="nil"/>
              <w:tr2bl w:val="nil"/>
            </w:tcBorders>
            <w:vAlign w:val="center"/>
          </w:tcPr>
          <w:p>
            <w:pPr>
              <w:tabs>
                <w:tab w:val="left" w:pos="636"/>
              </w:tabs>
              <w:jc w:val="center"/>
              <w:rPr>
                <w:rFonts w:ascii="宋体" w:hAnsi="宋体" w:eastAsia="宋体" w:cs="宋体"/>
                <w:sz w:val="24"/>
                <w:szCs w:val="24"/>
              </w:rPr>
            </w:pPr>
          </w:p>
        </w:tc>
        <w:tc>
          <w:tcPr>
            <w:tcW w:w="1110" w:type="dxa"/>
            <w:tcBorders>
              <w:tl2br w:val="nil"/>
              <w:tr2bl w:val="nil"/>
            </w:tcBorders>
            <w:vAlign w:val="center"/>
          </w:tcPr>
          <w:p>
            <w:pPr>
              <w:tabs>
                <w:tab w:val="left" w:pos="636"/>
              </w:tabs>
              <w:jc w:val="center"/>
              <w:rPr>
                <w:rFonts w:ascii="宋体" w:hAnsi="宋体" w:eastAsia="宋体" w:cs="宋体"/>
                <w:sz w:val="24"/>
                <w:szCs w:val="24"/>
              </w:rPr>
            </w:pPr>
            <w:r>
              <w:rPr>
                <w:rFonts w:hint="eastAsia" w:ascii="宋体" w:hAnsi="宋体" w:eastAsia="宋体" w:cs="宋体"/>
                <w:sz w:val="24"/>
                <w:szCs w:val="24"/>
              </w:rPr>
              <w:t>低水平</w:t>
            </w:r>
          </w:p>
        </w:tc>
        <w:tc>
          <w:tcPr>
            <w:tcW w:w="1110" w:type="dxa"/>
            <w:tcBorders>
              <w:tl2br w:val="nil"/>
              <w:tr2bl w:val="nil"/>
            </w:tcBorders>
            <w:vAlign w:val="center"/>
          </w:tcPr>
          <w:p>
            <w:pPr>
              <w:tabs>
                <w:tab w:val="left" w:pos="636"/>
              </w:tabs>
              <w:jc w:val="center"/>
              <w:rPr>
                <w:rFonts w:ascii="宋体" w:hAnsi="宋体" w:eastAsia="宋体" w:cs="宋体"/>
                <w:sz w:val="24"/>
                <w:szCs w:val="24"/>
              </w:rPr>
            </w:pPr>
            <w:r>
              <w:rPr>
                <w:rFonts w:hint="eastAsia" w:ascii="宋体" w:hAnsi="宋体" w:eastAsia="宋体" w:cs="宋体"/>
                <w:sz w:val="24"/>
                <w:szCs w:val="24"/>
              </w:rPr>
              <w:t>中水平</w:t>
            </w:r>
          </w:p>
        </w:tc>
        <w:tc>
          <w:tcPr>
            <w:tcW w:w="1110" w:type="dxa"/>
            <w:tcBorders>
              <w:tl2br w:val="nil"/>
              <w:tr2bl w:val="nil"/>
            </w:tcBorders>
            <w:vAlign w:val="center"/>
          </w:tcPr>
          <w:p>
            <w:pPr>
              <w:tabs>
                <w:tab w:val="left" w:pos="636"/>
              </w:tabs>
              <w:jc w:val="center"/>
              <w:rPr>
                <w:rFonts w:ascii="宋体" w:hAnsi="宋体" w:eastAsia="宋体" w:cs="宋体"/>
                <w:sz w:val="24"/>
                <w:szCs w:val="24"/>
              </w:rPr>
            </w:pPr>
            <w:r>
              <w:rPr>
                <w:rFonts w:hint="eastAsia" w:ascii="宋体" w:hAnsi="宋体" w:eastAsia="宋体" w:cs="宋体"/>
                <w:sz w:val="24"/>
                <w:szCs w:val="24"/>
              </w:rPr>
              <w:t>高水平</w:t>
            </w:r>
          </w:p>
        </w:tc>
        <w:tc>
          <w:tcPr>
            <w:tcW w:w="1110" w:type="dxa"/>
            <w:tcBorders>
              <w:tl2br w:val="nil"/>
              <w:tr2bl w:val="nil"/>
            </w:tcBorders>
            <w:vAlign w:val="center"/>
          </w:tcPr>
          <w:p>
            <w:pPr>
              <w:tabs>
                <w:tab w:val="left" w:pos="636"/>
              </w:tabs>
              <w:jc w:val="center"/>
              <w:rPr>
                <w:rFonts w:ascii="宋体" w:hAnsi="宋体" w:eastAsia="宋体" w:cs="宋体"/>
                <w:sz w:val="24"/>
                <w:szCs w:val="24"/>
              </w:rPr>
            </w:pPr>
            <w:r>
              <w:rPr>
                <w:rFonts w:hint="eastAsia" w:ascii="宋体" w:hAnsi="宋体" w:eastAsia="宋体" w:cs="宋体"/>
                <w:sz w:val="24"/>
                <w:szCs w:val="24"/>
              </w:rPr>
              <w:t>低水平</w:t>
            </w:r>
          </w:p>
        </w:tc>
        <w:tc>
          <w:tcPr>
            <w:tcW w:w="1114" w:type="dxa"/>
            <w:tcBorders>
              <w:tl2br w:val="nil"/>
              <w:tr2bl w:val="nil"/>
            </w:tcBorders>
            <w:vAlign w:val="center"/>
          </w:tcPr>
          <w:p>
            <w:pPr>
              <w:tabs>
                <w:tab w:val="left" w:pos="636"/>
              </w:tabs>
              <w:jc w:val="center"/>
              <w:rPr>
                <w:rFonts w:ascii="宋体" w:hAnsi="宋体" w:eastAsia="宋体" w:cs="宋体"/>
                <w:sz w:val="24"/>
                <w:szCs w:val="24"/>
              </w:rPr>
            </w:pPr>
            <w:r>
              <w:rPr>
                <w:rFonts w:hint="eastAsia" w:ascii="宋体" w:hAnsi="宋体" w:eastAsia="宋体" w:cs="宋体"/>
                <w:sz w:val="24"/>
                <w:szCs w:val="24"/>
              </w:rPr>
              <w:t>中水平</w:t>
            </w:r>
          </w:p>
        </w:tc>
        <w:tc>
          <w:tcPr>
            <w:tcW w:w="1114" w:type="dxa"/>
            <w:tcBorders>
              <w:tl2br w:val="nil"/>
              <w:tr2bl w:val="nil"/>
            </w:tcBorders>
            <w:vAlign w:val="center"/>
          </w:tcPr>
          <w:p>
            <w:pPr>
              <w:tabs>
                <w:tab w:val="left" w:pos="636"/>
              </w:tabs>
              <w:jc w:val="center"/>
              <w:rPr>
                <w:rFonts w:ascii="宋体" w:hAnsi="宋体" w:eastAsia="宋体" w:cs="宋体"/>
                <w:sz w:val="24"/>
                <w:szCs w:val="24"/>
              </w:rPr>
            </w:pPr>
            <w:r>
              <w:rPr>
                <w:rFonts w:hint="eastAsia" w:ascii="宋体" w:hAnsi="宋体" w:eastAsia="宋体" w:cs="宋体"/>
                <w:sz w:val="24"/>
                <w:szCs w:val="24"/>
              </w:rPr>
              <w:t>高水平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738" w:type="dxa"/>
          </w:tcPr>
          <w:p>
            <w:pPr>
              <w:tabs>
                <w:tab w:val="left" w:pos="636"/>
              </w:tabs>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1</w:t>
            </w:r>
          </w:p>
        </w:tc>
        <w:tc>
          <w:tcPr>
            <w:tcW w:w="1110" w:type="dxa"/>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0.038</w:t>
            </w:r>
          </w:p>
        </w:tc>
        <w:tc>
          <w:tcPr>
            <w:tcW w:w="1110" w:type="dxa"/>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4.193</w:t>
            </w:r>
          </w:p>
        </w:tc>
        <w:tc>
          <w:tcPr>
            <w:tcW w:w="1110" w:type="dxa"/>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2.362</w:t>
            </w:r>
          </w:p>
        </w:tc>
        <w:tc>
          <w:tcPr>
            <w:tcW w:w="1110" w:type="dxa"/>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2.110</w:t>
            </w:r>
          </w:p>
        </w:tc>
        <w:tc>
          <w:tcPr>
            <w:tcW w:w="1110" w:type="dxa"/>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91.0~101.9 </w:t>
            </w:r>
          </w:p>
        </w:tc>
        <w:tc>
          <w:tcPr>
            <w:tcW w:w="1114" w:type="dxa"/>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94.2~100.2 </w:t>
            </w:r>
          </w:p>
        </w:tc>
        <w:tc>
          <w:tcPr>
            <w:tcW w:w="1114" w:type="dxa"/>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95.1~101.0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738" w:type="dxa"/>
            <w:tcBorders>
              <w:tl2br w:val="nil"/>
              <w:tr2bl w:val="nil"/>
            </w:tcBorders>
          </w:tcPr>
          <w:p>
            <w:pPr>
              <w:tabs>
                <w:tab w:val="left" w:pos="636"/>
              </w:tabs>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2</w:t>
            </w:r>
          </w:p>
        </w:tc>
        <w:tc>
          <w:tcPr>
            <w:tcW w:w="1110" w:type="dxa"/>
            <w:tcBorders>
              <w:tl2br w:val="nil"/>
              <w:tr2bl w:val="nil"/>
            </w:tcBorders>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0.038</w:t>
            </w:r>
          </w:p>
        </w:tc>
        <w:tc>
          <w:tcPr>
            <w:tcW w:w="1110" w:type="dxa"/>
            <w:tcBorders>
              <w:tl2br w:val="nil"/>
              <w:tr2bl w:val="nil"/>
            </w:tcBorders>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4.739</w:t>
            </w:r>
          </w:p>
        </w:tc>
        <w:tc>
          <w:tcPr>
            <w:tcW w:w="1110" w:type="dxa"/>
            <w:tcBorders>
              <w:tl2br w:val="nil"/>
              <w:tr2bl w:val="nil"/>
            </w:tcBorders>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3.875</w:t>
            </w:r>
          </w:p>
        </w:tc>
        <w:tc>
          <w:tcPr>
            <w:tcW w:w="1110" w:type="dxa"/>
            <w:tcBorders>
              <w:tl2br w:val="nil"/>
              <w:tr2bl w:val="nil"/>
            </w:tcBorders>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4.622</w:t>
            </w:r>
          </w:p>
        </w:tc>
        <w:tc>
          <w:tcPr>
            <w:tcW w:w="1110" w:type="dxa"/>
            <w:tcBorders>
              <w:tl2br w:val="nil"/>
              <w:tr2bl w:val="nil"/>
            </w:tcBorders>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93.8~105.6 </w:t>
            </w:r>
          </w:p>
        </w:tc>
        <w:tc>
          <w:tcPr>
            <w:tcW w:w="1114" w:type="dxa"/>
            <w:tcBorders>
              <w:tl2br w:val="nil"/>
              <w:tr2bl w:val="nil"/>
            </w:tcBorders>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90.6~101.6 </w:t>
            </w:r>
          </w:p>
        </w:tc>
        <w:tc>
          <w:tcPr>
            <w:tcW w:w="1114" w:type="dxa"/>
            <w:tcBorders>
              <w:tl2br w:val="nil"/>
              <w:tr2bl w:val="nil"/>
            </w:tcBorders>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95.1~101.0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738" w:type="dxa"/>
            <w:tcBorders>
              <w:tl2br w:val="nil"/>
              <w:tr2bl w:val="nil"/>
            </w:tcBorders>
          </w:tcPr>
          <w:p>
            <w:pPr>
              <w:tabs>
                <w:tab w:val="left" w:pos="636"/>
              </w:tabs>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3</w:t>
            </w:r>
          </w:p>
        </w:tc>
        <w:tc>
          <w:tcPr>
            <w:tcW w:w="1110" w:type="dxa"/>
            <w:tcBorders>
              <w:tl2br w:val="nil"/>
              <w:tr2bl w:val="nil"/>
            </w:tcBorders>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0.046</w:t>
            </w:r>
          </w:p>
        </w:tc>
        <w:tc>
          <w:tcPr>
            <w:tcW w:w="1110" w:type="dxa"/>
            <w:tcBorders>
              <w:tl2br w:val="nil"/>
              <w:tr2bl w:val="nil"/>
            </w:tcBorders>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3.359</w:t>
            </w:r>
          </w:p>
        </w:tc>
        <w:tc>
          <w:tcPr>
            <w:tcW w:w="1110" w:type="dxa"/>
            <w:tcBorders>
              <w:tl2br w:val="nil"/>
              <w:tr2bl w:val="nil"/>
            </w:tcBorders>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4.532</w:t>
            </w:r>
          </w:p>
        </w:tc>
        <w:tc>
          <w:tcPr>
            <w:tcW w:w="1110" w:type="dxa"/>
            <w:tcBorders>
              <w:tl2br w:val="nil"/>
              <w:tr2bl w:val="nil"/>
            </w:tcBorders>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4.081</w:t>
            </w:r>
          </w:p>
        </w:tc>
        <w:tc>
          <w:tcPr>
            <w:tcW w:w="1110" w:type="dxa"/>
            <w:tcBorders>
              <w:tl2br w:val="nil"/>
              <w:tr2bl w:val="nil"/>
            </w:tcBorders>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92.0~100.2 </w:t>
            </w:r>
          </w:p>
        </w:tc>
        <w:tc>
          <w:tcPr>
            <w:tcW w:w="1114" w:type="dxa"/>
            <w:tcBorders>
              <w:tl2br w:val="nil"/>
              <w:tr2bl w:val="nil"/>
            </w:tcBorders>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90.8~102.2 </w:t>
            </w:r>
          </w:p>
        </w:tc>
        <w:tc>
          <w:tcPr>
            <w:tcW w:w="1114" w:type="dxa"/>
            <w:tcBorders>
              <w:tl2br w:val="nil"/>
              <w:tr2bl w:val="nil"/>
            </w:tcBorders>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90.0~100.8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738" w:type="dxa"/>
            <w:tcBorders>
              <w:tl2br w:val="nil"/>
              <w:tr2bl w:val="nil"/>
            </w:tcBorders>
          </w:tcPr>
          <w:p>
            <w:pPr>
              <w:tabs>
                <w:tab w:val="left" w:pos="636"/>
              </w:tabs>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4</w:t>
            </w:r>
          </w:p>
        </w:tc>
        <w:tc>
          <w:tcPr>
            <w:tcW w:w="1110" w:type="dxa"/>
            <w:tcBorders>
              <w:tl2br w:val="nil"/>
              <w:tr2bl w:val="nil"/>
            </w:tcBorders>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0.045</w:t>
            </w:r>
          </w:p>
        </w:tc>
        <w:tc>
          <w:tcPr>
            <w:tcW w:w="1110" w:type="dxa"/>
            <w:tcBorders>
              <w:tl2br w:val="nil"/>
              <w:tr2bl w:val="nil"/>
            </w:tcBorders>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4.934</w:t>
            </w:r>
          </w:p>
        </w:tc>
        <w:tc>
          <w:tcPr>
            <w:tcW w:w="1110" w:type="dxa"/>
            <w:tcBorders>
              <w:tl2br w:val="nil"/>
              <w:tr2bl w:val="nil"/>
            </w:tcBorders>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4.532</w:t>
            </w:r>
          </w:p>
        </w:tc>
        <w:tc>
          <w:tcPr>
            <w:tcW w:w="1110" w:type="dxa"/>
            <w:tcBorders>
              <w:tl2br w:val="nil"/>
              <w:tr2bl w:val="nil"/>
            </w:tcBorders>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1.117</w:t>
            </w:r>
          </w:p>
        </w:tc>
        <w:tc>
          <w:tcPr>
            <w:tcW w:w="1110" w:type="dxa"/>
            <w:tcBorders>
              <w:tl2br w:val="nil"/>
              <w:tr2bl w:val="nil"/>
            </w:tcBorders>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90.1~102.7 </w:t>
            </w:r>
          </w:p>
        </w:tc>
        <w:tc>
          <w:tcPr>
            <w:tcW w:w="1114" w:type="dxa"/>
            <w:tcBorders>
              <w:tl2br w:val="nil"/>
              <w:tr2bl w:val="nil"/>
            </w:tcBorders>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90.7~102.9 </w:t>
            </w:r>
          </w:p>
        </w:tc>
        <w:tc>
          <w:tcPr>
            <w:tcW w:w="1114" w:type="dxa"/>
            <w:tcBorders>
              <w:tl2br w:val="nil"/>
              <w:tr2bl w:val="nil"/>
            </w:tcBorders>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90.5~102.5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738" w:type="dxa"/>
            <w:tcBorders>
              <w:tl2br w:val="nil"/>
              <w:tr2bl w:val="nil"/>
            </w:tcBorders>
          </w:tcPr>
          <w:p>
            <w:pPr>
              <w:tabs>
                <w:tab w:val="left" w:pos="636"/>
              </w:tabs>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5</w:t>
            </w:r>
          </w:p>
        </w:tc>
        <w:tc>
          <w:tcPr>
            <w:tcW w:w="1110" w:type="dxa"/>
            <w:tcBorders>
              <w:tl2br w:val="nil"/>
              <w:tr2bl w:val="nil"/>
            </w:tcBorders>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0.042</w:t>
            </w:r>
          </w:p>
        </w:tc>
        <w:tc>
          <w:tcPr>
            <w:tcW w:w="1110" w:type="dxa"/>
            <w:tcBorders>
              <w:tl2br w:val="nil"/>
              <w:tr2bl w:val="nil"/>
            </w:tcBorders>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4.178</w:t>
            </w:r>
          </w:p>
        </w:tc>
        <w:tc>
          <w:tcPr>
            <w:tcW w:w="1110" w:type="dxa"/>
            <w:tcBorders>
              <w:tl2br w:val="nil"/>
              <w:tr2bl w:val="nil"/>
            </w:tcBorders>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4.727</w:t>
            </w:r>
          </w:p>
        </w:tc>
        <w:tc>
          <w:tcPr>
            <w:tcW w:w="1110" w:type="dxa"/>
            <w:tcBorders>
              <w:tl2br w:val="nil"/>
              <w:tr2bl w:val="nil"/>
            </w:tcBorders>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4.744</w:t>
            </w:r>
          </w:p>
        </w:tc>
        <w:tc>
          <w:tcPr>
            <w:tcW w:w="1110" w:type="dxa"/>
            <w:tcBorders>
              <w:tl2br w:val="nil"/>
              <w:tr2bl w:val="nil"/>
            </w:tcBorders>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94.6~105.2</w:t>
            </w:r>
          </w:p>
        </w:tc>
        <w:tc>
          <w:tcPr>
            <w:tcW w:w="1114" w:type="dxa"/>
            <w:tcBorders>
              <w:tl2br w:val="nil"/>
              <w:tr2bl w:val="nil"/>
            </w:tcBorders>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91.8~102.1 </w:t>
            </w:r>
          </w:p>
        </w:tc>
        <w:tc>
          <w:tcPr>
            <w:tcW w:w="1114" w:type="dxa"/>
            <w:tcBorders>
              <w:tl2br w:val="nil"/>
              <w:tr2bl w:val="nil"/>
            </w:tcBorders>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90.6~101.1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738" w:type="dxa"/>
            <w:tcBorders>
              <w:tl2br w:val="nil"/>
              <w:tr2bl w:val="nil"/>
            </w:tcBorders>
          </w:tcPr>
          <w:p>
            <w:pPr>
              <w:tabs>
                <w:tab w:val="left" w:pos="636"/>
              </w:tabs>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6</w:t>
            </w:r>
          </w:p>
        </w:tc>
        <w:tc>
          <w:tcPr>
            <w:tcW w:w="1110" w:type="dxa"/>
            <w:tcBorders>
              <w:tl2br w:val="nil"/>
              <w:tr2bl w:val="nil"/>
            </w:tcBorders>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0.048</w:t>
            </w:r>
          </w:p>
        </w:tc>
        <w:tc>
          <w:tcPr>
            <w:tcW w:w="1110" w:type="dxa"/>
            <w:tcBorders>
              <w:tl2br w:val="nil"/>
              <w:tr2bl w:val="nil"/>
            </w:tcBorders>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3.759</w:t>
            </w:r>
          </w:p>
        </w:tc>
        <w:tc>
          <w:tcPr>
            <w:tcW w:w="1110" w:type="dxa"/>
            <w:tcBorders>
              <w:tl2br w:val="nil"/>
              <w:tr2bl w:val="nil"/>
            </w:tcBorders>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3.742</w:t>
            </w:r>
          </w:p>
        </w:tc>
        <w:tc>
          <w:tcPr>
            <w:tcW w:w="1110" w:type="dxa"/>
            <w:tcBorders>
              <w:tl2br w:val="nil"/>
              <w:tr2bl w:val="nil"/>
            </w:tcBorders>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2.235</w:t>
            </w:r>
          </w:p>
        </w:tc>
        <w:tc>
          <w:tcPr>
            <w:tcW w:w="1110" w:type="dxa"/>
            <w:tcBorders>
              <w:tl2br w:val="nil"/>
              <w:tr2bl w:val="nil"/>
            </w:tcBorders>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91.0~100.6</w:t>
            </w:r>
          </w:p>
        </w:tc>
        <w:tc>
          <w:tcPr>
            <w:tcW w:w="1114" w:type="dxa"/>
            <w:tcBorders>
              <w:tl2br w:val="nil"/>
              <w:tr2bl w:val="nil"/>
            </w:tcBorders>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91.0~100.4 </w:t>
            </w:r>
          </w:p>
        </w:tc>
        <w:tc>
          <w:tcPr>
            <w:tcW w:w="1114" w:type="dxa"/>
            <w:tcBorders>
              <w:tl2br w:val="nil"/>
              <w:tr2bl w:val="nil"/>
            </w:tcBorders>
            <w:vAlign w:val="center"/>
          </w:tcPr>
          <w:p>
            <w:pPr>
              <w:tabs>
                <w:tab w:val="left" w:pos="636"/>
              </w:tabs>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90.1~95.0  </w:t>
            </w:r>
          </w:p>
        </w:tc>
      </w:tr>
    </w:tbl>
    <w:p>
      <w:pPr>
        <w:widowControl/>
        <w:spacing w:line="360" w:lineRule="auto"/>
        <w:jc w:val="left"/>
        <w:rPr>
          <w:rFonts w:ascii="Calibri" w:hAnsi="Calibri" w:cs="Calibri"/>
          <w:bCs/>
          <w:sz w:val="24"/>
          <w:szCs w:val="24"/>
        </w:rPr>
      </w:pPr>
    </w:p>
    <w:p>
      <w:pPr>
        <w:widowControl/>
        <w:spacing w:line="360" w:lineRule="auto"/>
        <w:jc w:val="left"/>
        <w:rPr>
          <w:bCs/>
          <w:color w:val="000000"/>
          <w:sz w:val="24"/>
        </w:rPr>
      </w:pPr>
      <w:r>
        <w:rPr>
          <w:rFonts w:hint="eastAsia" w:ascii="Times New Roman" w:hAnsi="Times New Roman"/>
          <w:b/>
          <w:sz w:val="24"/>
          <w:szCs w:val="24"/>
        </w:rPr>
        <w:t>结论：</w:t>
      </w:r>
    </w:p>
    <w:p>
      <w:pPr>
        <w:autoSpaceDE w:val="0"/>
        <w:autoSpaceDN w:val="0"/>
        <w:adjustRightInd w:val="0"/>
        <w:spacing w:line="360" w:lineRule="auto"/>
        <w:ind w:firstLine="480" w:firstLineChars="200"/>
        <w:jc w:val="left"/>
        <w:rPr>
          <w:rFonts w:ascii="Times New Roman" w:hAnsi="Times New Roman" w:cs="Times New Roman"/>
          <w:sz w:val="24"/>
          <w:szCs w:val="24"/>
        </w:rPr>
      </w:pPr>
      <w:r>
        <w:rPr>
          <w:rFonts w:ascii="Times New Roman" w:hAnsi="Times New Roman" w:cs="Times New Roman"/>
          <w:sz w:val="24"/>
          <w:szCs w:val="24"/>
        </w:rPr>
        <w:t>上述实验方法为湖北中检检测有限公司实验室所制定作业指导书。上述实验方法为湖北中检检测有限公司实验室所制定作业指导书。按照作业指导书要求，采集的样品经萃取后进行分光法检测，对实验过程进行了充分验证，对实验样品进行了有效的质量控制考核。并通过X家实验室间方法检出限及加标回收率、精密度等一系列方法学验证后，通过上述实验数据对比分析，实验结果达到标准要求和预期目标，实验方法的线性范围宽，重现性好，可操作性强。</w:t>
      </w:r>
    </w:p>
    <w:p>
      <w:pPr>
        <w:pStyle w:val="15"/>
        <w:spacing w:line="360" w:lineRule="auto"/>
        <w:ind w:firstLine="480"/>
        <w:rPr>
          <w:rFonts w:ascii="Times New Roman" w:hAnsi="Times New Roman"/>
          <w:sz w:val="24"/>
          <w:szCs w:val="24"/>
        </w:rPr>
      </w:pPr>
    </w:p>
    <w:p>
      <w:pPr>
        <w:pStyle w:val="15"/>
        <w:numPr>
          <w:ilvl w:val="0"/>
          <w:numId w:val="2"/>
        </w:numPr>
        <w:spacing w:line="360" w:lineRule="auto"/>
        <w:ind w:firstLineChars="0"/>
        <w:rPr>
          <w:rFonts w:ascii="Times New Roman" w:hAnsi="Times New Roman"/>
          <w:b/>
          <w:sz w:val="24"/>
          <w:szCs w:val="24"/>
        </w:rPr>
      </w:pPr>
      <w:r>
        <w:rPr>
          <w:rFonts w:hint="eastAsia" w:ascii="Times New Roman" w:hAnsi="Times New Roman"/>
          <w:b/>
          <w:sz w:val="24"/>
          <w:szCs w:val="24"/>
        </w:rPr>
        <w:t>标准实施建议</w:t>
      </w:r>
    </w:p>
    <w:p>
      <w:pPr>
        <w:pStyle w:val="15"/>
        <w:spacing w:line="360" w:lineRule="auto"/>
        <w:ind w:firstLine="480"/>
        <w:rPr>
          <w:rFonts w:ascii="Verdana" w:hAnsi="Verdana" w:eastAsia="宋体" w:cs="宋体"/>
          <w:color w:val="000000"/>
          <w:kern w:val="0"/>
          <w:sz w:val="24"/>
          <w:szCs w:val="24"/>
        </w:rPr>
      </w:pPr>
      <w:r>
        <w:rPr>
          <w:rFonts w:ascii="宋体" w:hAnsi="宋体" w:eastAsia="宋体" w:cs="宋体"/>
          <w:sz w:val="24"/>
          <w:szCs w:val="24"/>
        </w:rPr>
        <w:t>希望本标准审批通过后，尽快作为团体标准发布、实施，并进行相应的宣贯培训工作， 推动标准的快速推广</w:t>
      </w:r>
      <w:r>
        <w:rPr>
          <w:rFonts w:hint="eastAsia" w:ascii="宋体" w:hAnsi="宋体" w:eastAsia="宋体" w:cs="宋体"/>
          <w:sz w:val="24"/>
          <w:szCs w:val="24"/>
        </w:rPr>
        <w:t>。</w:t>
      </w:r>
    </w:p>
    <w:p>
      <w:pPr>
        <w:pStyle w:val="15"/>
        <w:spacing w:line="360" w:lineRule="auto"/>
        <w:ind w:left="450" w:firstLine="0" w:firstLineChars="0"/>
        <w:rPr>
          <w:rFonts w:ascii="Verdana" w:hAnsi="Verdana" w:eastAsia="宋体" w:cs="宋体"/>
          <w:color w:val="000000"/>
          <w:kern w:val="0"/>
          <w:sz w:val="24"/>
          <w:szCs w:val="24"/>
        </w:rPr>
      </w:pPr>
    </w:p>
    <w:p>
      <w:pPr>
        <w:pStyle w:val="15"/>
        <w:numPr>
          <w:ilvl w:val="0"/>
          <w:numId w:val="2"/>
        </w:numPr>
        <w:spacing w:line="360" w:lineRule="auto"/>
        <w:ind w:firstLineChars="0"/>
        <w:rPr>
          <w:rFonts w:ascii="Times New Roman" w:hAnsi="Times New Roman"/>
          <w:b/>
          <w:sz w:val="24"/>
          <w:szCs w:val="24"/>
        </w:rPr>
      </w:pPr>
      <w:r>
        <w:rPr>
          <w:rFonts w:hint="eastAsia" w:ascii="Times New Roman" w:hAnsi="Times New Roman"/>
          <w:b/>
          <w:sz w:val="24"/>
          <w:szCs w:val="24"/>
        </w:rPr>
        <w:t>标准知识产权说明</w:t>
      </w:r>
    </w:p>
    <w:p>
      <w:pPr>
        <w:pStyle w:val="15"/>
        <w:spacing w:line="360" w:lineRule="auto"/>
        <w:ind w:left="450" w:firstLine="0" w:firstLineChars="0"/>
        <w:rPr>
          <w:rFonts w:ascii="Times New Roman" w:hAnsi="Times New Roman"/>
          <w:sz w:val="24"/>
          <w:szCs w:val="24"/>
        </w:rPr>
      </w:pPr>
      <w:r>
        <w:rPr>
          <w:rFonts w:hint="eastAsia" w:ascii="Times New Roman" w:hAnsi="Times New Roman"/>
          <w:sz w:val="24"/>
          <w:szCs w:val="24"/>
        </w:rPr>
        <w:t>无</w:t>
      </w:r>
    </w:p>
    <w:p>
      <w:pPr>
        <w:pStyle w:val="15"/>
        <w:numPr>
          <w:ilvl w:val="0"/>
          <w:numId w:val="2"/>
        </w:numPr>
        <w:spacing w:line="360" w:lineRule="auto"/>
        <w:ind w:firstLineChars="0"/>
        <w:rPr>
          <w:rFonts w:ascii="Times New Roman" w:hAnsi="Times New Roman"/>
          <w:b/>
          <w:sz w:val="24"/>
          <w:szCs w:val="24"/>
        </w:rPr>
      </w:pPr>
      <w:r>
        <w:rPr>
          <w:rFonts w:hint="eastAsia" w:ascii="Times New Roman" w:hAnsi="Times New Roman"/>
          <w:b/>
          <w:sz w:val="24"/>
          <w:szCs w:val="24"/>
        </w:rPr>
        <w:t>其重大意见分歧处理</w:t>
      </w:r>
    </w:p>
    <w:p>
      <w:pPr>
        <w:pStyle w:val="15"/>
        <w:spacing w:line="360" w:lineRule="auto"/>
        <w:ind w:firstLine="480"/>
        <w:rPr>
          <w:bCs/>
          <w:sz w:val="24"/>
          <w:szCs w:val="24"/>
        </w:rPr>
      </w:pPr>
      <w:r>
        <w:rPr>
          <w:rFonts w:hint="eastAsia"/>
          <w:bCs/>
          <w:sz w:val="24"/>
          <w:szCs w:val="24"/>
        </w:rPr>
        <w:t>无</w:t>
      </w:r>
    </w:p>
    <w:p>
      <w:pPr>
        <w:numPr>
          <w:ilvl w:val="0"/>
          <w:numId w:val="2"/>
        </w:numPr>
        <w:tabs>
          <w:tab w:val="left" w:pos="636"/>
        </w:tabs>
        <w:spacing w:line="360" w:lineRule="auto"/>
        <w:rPr>
          <w:rFonts w:asciiTheme="minorEastAsia" w:hAnsiTheme="minorEastAsia" w:cstheme="minorEastAsia"/>
          <w:b/>
          <w:bCs/>
          <w:sz w:val="24"/>
          <w:szCs w:val="24"/>
        </w:rPr>
      </w:pPr>
      <w:r>
        <w:rPr>
          <w:rFonts w:hint="eastAsia" w:asciiTheme="minorEastAsia" w:hAnsiTheme="minorEastAsia" w:cstheme="minorEastAsia"/>
          <w:b/>
          <w:bCs/>
          <w:sz w:val="24"/>
          <w:szCs w:val="24"/>
        </w:rPr>
        <w:t xml:space="preserve"> 其他应予说明的事项</w:t>
      </w:r>
    </w:p>
    <w:p>
      <w:pPr>
        <w:pStyle w:val="15"/>
        <w:spacing w:line="360" w:lineRule="auto"/>
        <w:ind w:firstLine="480"/>
        <w:rPr>
          <w:rFonts w:ascii="Times New Roman" w:hAnsi="Times New Roman"/>
          <w:sz w:val="24"/>
          <w:szCs w:val="24"/>
        </w:rPr>
      </w:pPr>
      <w:r>
        <w:rPr>
          <w:rFonts w:hint="eastAsia" w:ascii="Times New Roman" w:hAnsi="Times New Roman"/>
          <w:sz w:val="24"/>
          <w:szCs w:val="24"/>
        </w:rPr>
        <w:t>无</w:t>
      </w:r>
    </w:p>
    <w:p>
      <w:pPr>
        <w:numPr>
          <w:ilvl w:val="0"/>
          <w:numId w:val="2"/>
        </w:numPr>
        <w:tabs>
          <w:tab w:val="left" w:pos="636"/>
        </w:tabs>
        <w:spacing w:line="360" w:lineRule="auto"/>
        <w:rPr>
          <w:rFonts w:asciiTheme="minorEastAsia" w:hAnsiTheme="minorEastAsia" w:cstheme="minorEastAsia"/>
          <w:b/>
          <w:bCs/>
          <w:sz w:val="28"/>
          <w:szCs w:val="28"/>
        </w:rPr>
      </w:pPr>
      <w:r>
        <w:rPr>
          <w:rFonts w:hint="eastAsia" w:asciiTheme="minorEastAsia" w:hAnsiTheme="minorEastAsia" w:cstheme="minorEastAsia"/>
          <w:b/>
          <w:bCs/>
          <w:sz w:val="28"/>
          <w:szCs w:val="28"/>
        </w:rPr>
        <w:t xml:space="preserve"> 与有关的现行法律、法规和强制性国家标准的关系</w:t>
      </w:r>
    </w:p>
    <w:p>
      <w:pPr>
        <w:pStyle w:val="15"/>
        <w:spacing w:line="360" w:lineRule="auto"/>
        <w:ind w:firstLine="480"/>
        <w:rPr>
          <w:rFonts w:ascii="Times New Roman" w:hAnsi="Times New Roman" w:cs="Times New Roman" w:eastAsiaTheme="majorEastAsia"/>
          <w:bCs/>
          <w:color w:val="000000" w:themeColor="text1"/>
          <w:sz w:val="24"/>
          <w:szCs w:val="24"/>
        </w:rPr>
      </w:pPr>
      <w:r>
        <w:rPr>
          <w:rFonts w:ascii="Times New Roman" w:hAnsi="Times New Roman" w:cs="Times New Roman" w:eastAsiaTheme="majorEastAsia"/>
          <w:bCs/>
          <w:color w:val="000000" w:themeColor="text1"/>
          <w:sz w:val="24"/>
          <w:szCs w:val="24"/>
        </w:rPr>
        <w:t>本标准所涉及的引用标准均为本行业现行有效的国家标准及行业标准。与相关法律、法规、规章及相关标准协调一致，没有冲突，本方法</w:t>
      </w:r>
      <w:r>
        <w:rPr>
          <w:rFonts w:ascii="Times New Roman" w:hAnsi="Times New Roman" w:cs="Times New Roman"/>
          <w:color w:val="000000" w:themeColor="text1"/>
          <w:sz w:val="24"/>
          <w:szCs w:val="21"/>
        </w:rPr>
        <w:t>为工作场所空气中油雾的测定提供了一种既快速又准确可行的方法，也为我国空气中油雾标准检测方法的选取提供一定参考。</w:t>
      </w:r>
    </w:p>
    <w:p>
      <w:pPr>
        <w:numPr>
          <w:ilvl w:val="0"/>
          <w:numId w:val="2"/>
        </w:numPr>
        <w:tabs>
          <w:tab w:val="left" w:pos="636"/>
        </w:tabs>
        <w:spacing w:line="360" w:lineRule="auto"/>
        <w:rPr>
          <w:rFonts w:asciiTheme="minorEastAsia" w:hAnsiTheme="minorEastAsia" w:cstheme="minorEastAsia"/>
          <w:b/>
          <w:bCs/>
          <w:sz w:val="28"/>
          <w:szCs w:val="28"/>
        </w:rPr>
      </w:pPr>
      <w:r>
        <w:rPr>
          <w:rFonts w:hint="eastAsia" w:asciiTheme="minorEastAsia" w:hAnsiTheme="minorEastAsia" w:cstheme="minorEastAsia"/>
          <w:b/>
          <w:bCs/>
          <w:sz w:val="28"/>
          <w:szCs w:val="28"/>
        </w:rPr>
        <w:t xml:space="preserve"> 参考文献</w:t>
      </w:r>
    </w:p>
    <w:p>
      <w:pPr>
        <w:snapToGrid w:val="0"/>
        <w:spacing w:line="288" w:lineRule="auto"/>
        <w:ind w:left="480" w:hanging="480" w:hangingChars="200"/>
        <w:rPr>
          <w:rFonts w:ascii="Times New Roman" w:hAnsi="Times New Roman" w:eastAsia="宋体" w:cs="Times New Roman"/>
          <w:sz w:val="24"/>
          <w:szCs w:val="18"/>
        </w:rPr>
      </w:pPr>
      <w:r>
        <w:rPr>
          <w:rFonts w:hint="eastAsia" w:ascii="Times New Roman" w:hAnsi="Times New Roman" w:eastAsia="宋体" w:cs="Times New Roman"/>
          <w:sz w:val="24"/>
          <w:szCs w:val="18"/>
        </w:rPr>
        <w:t>[1] 傅树琴，周炜，严丽珍，等．金属加工润滑剂油雾控制的现状与进展 [J]．润滑油，2003，l8(6)：1-5．</w:t>
      </w:r>
    </w:p>
    <w:p>
      <w:pPr>
        <w:snapToGrid w:val="0"/>
        <w:spacing w:line="288" w:lineRule="auto"/>
        <w:ind w:left="480" w:hanging="480" w:hangingChars="200"/>
        <w:rPr>
          <w:rFonts w:ascii="Times New Roman" w:eastAsia="宋体"/>
          <w:sz w:val="24"/>
          <w:szCs w:val="18"/>
        </w:rPr>
      </w:pPr>
      <w:r>
        <w:rPr>
          <w:rFonts w:ascii="Times New Roman" w:hAnsi="Times New Roman" w:eastAsia="宋体" w:cs="Times New Roman"/>
          <w:sz w:val="24"/>
          <w:szCs w:val="18"/>
        </w:rPr>
        <w:t xml:space="preserve">[2] </w:t>
      </w:r>
      <w:r>
        <w:rPr>
          <w:rFonts w:hint="eastAsia" w:ascii="Times New Roman" w:eastAsia="宋体"/>
          <w:sz w:val="24"/>
          <w:szCs w:val="18"/>
        </w:rPr>
        <w:t>许敏</w:t>
      </w:r>
      <w:r>
        <w:rPr>
          <w:rFonts w:hint="eastAsia" w:ascii="Times New Roman"/>
          <w:sz w:val="24"/>
          <w:szCs w:val="18"/>
        </w:rPr>
        <w:t>，</w:t>
      </w:r>
      <w:r>
        <w:rPr>
          <w:rFonts w:hint="eastAsia" w:ascii="Times New Roman" w:eastAsia="宋体"/>
          <w:sz w:val="24"/>
          <w:szCs w:val="18"/>
        </w:rPr>
        <w:t>张裕曾</w:t>
      </w:r>
      <w:r>
        <w:rPr>
          <w:rFonts w:hint="eastAsia" w:ascii="Times New Roman"/>
          <w:sz w:val="24"/>
          <w:szCs w:val="18"/>
        </w:rPr>
        <w:t>，</w:t>
      </w:r>
      <w:r>
        <w:rPr>
          <w:rFonts w:hint="eastAsia" w:ascii="Times New Roman" w:eastAsia="宋体"/>
          <w:sz w:val="24"/>
          <w:szCs w:val="18"/>
        </w:rPr>
        <w:t>刘世锋</w:t>
      </w:r>
      <w:r>
        <w:rPr>
          <w:rFonts w:hint="eastAsia" w:ascii="Times New Roman"/>
          <w:sz w:val="24"/>
          <w:szCs w:val="18"/>
        </w:rPr>
        <w:t>，</w:t>
      </w:r>
      <w:r>
        <w:rPr>
          <w:rFonts w:hint="eastAsia" w:ascii="Times New Roman" w:eastAsia="宋体"/>
          <w:sz w:val="24"/>
          <w:szCs w:val="18"/>
        </w:rPr>
        <w:t>等．工作场所空气中矿物油烟雾浓度测定方法[J]．中华劳动卫生职业病杂志，2008，26（5）：280-284．</w:t>
      </w:r>
    </w:p>
    <w:p>
      <w:pPr>
        <w:snapToGrid w:val="0"/>
        <w:spacing w:line="288" w:lineRule="auto"/>
        <w:ind w:left="480" w:hanging="480" w:hangingChars="200"/>
        <w:rPr>
          <w:rFonts w:ascii="Times New Roman" w:eastAsia="宋体"/>
          <w:sz w:val="24"/>
          <w:szCs w:val="18"/>
        </w:rPr>
      </w:pPr>
      <w:r>
        <w:rPr>
          <w:rFonts w:ascii="Times New Roman" w:hAnsi="Times New Roman" w:eastAsia="宋体" w:cs="Times New Roman"/>
          <w:sz w:val="24"/>
          <w:szCs w:val="18"/>
        </w:rPr>
        <w:t xml:space="preserve">[3] </w:t>
      </w:r>
      <w:r>
        <w:rPr>
          <w:rFonts w:hint="eastAsia" w:ascii="Times New Roman" w:eastAsia="宋体"/>
          <w:sz w:val="24"/>
          <w:szCs w:val="18"/>
        </w:rPr>
        <w:t>张健，王延，赵淑岚</w:t>
      </w:r>
      <w:r>
        <w:rPr>
          <w:rFonts w:hint="eastAsia" w:ascii="Times New Roman"/>
          <w:sz w:val="24"/>
          <w:szCs w:val="18"/>
        </w:rPr>
        <w:t>，</w:t>
      </w:r>
      <w:r>
        <w:rPr>
          <w:rFonts w:hint="eastAsia" w:ascii="Times New Roman" w:eastAsia="宋体"/>
          <w:sz w:val="24"/>
          <w:szCs w:val="18"/>
        </w:rPr>
        <w:t>等．作业场所中矿物油雾的紫外分光光度法测定法 [J]．职业与健康，2003，19(12)：36-37．</w:t>
      </w:r>
    </w:p>
    <w:p>
      <w:pPr>
        <w:snapToGrid w:val="0"/>
        <w:spacing w:line="288" w:lineRule="auto"/>
        <w:ind w:left="480" w:hanging="480" w:hangingChars="200"/>
        <w:rPr>
          <w:rFonts w:ascii="Times New Roman" w:eastAsia="宋体"/>
          <w:sz w:val="24"/>
          <w:szCs w:val="18"/>
        </w:rPr>
      </w:pPr>
      <w:r>
        <w:rPr>
          <w:rFonts w:ascii="Times New Roman" w:hAnsi="Times New Roman" w:eastAsia="宋体" w:cs="Times New Roman"/>
          <w:sz w:val="24"/>
          <w:szCs w:val="18"/>
        </w:rPr>
        <w:t xml:space="preserve">[4] </w:t>
      </w:r>
      <w:r>
        <w:rPr>
          <w:rFonts w:hint="eastAsia" w:ascii="Times New Roman" w:eastAsia="宋体"/>
          <w:sz w:val="24"/>
          <w:szCs w:val="18"/>
        </w:rPr>
        <w:t>杨伟红</w:t>
      </w:r>
      <w:r>
        <w:rPr>
          <w:rFonts w:hint="eastAsia" w:ascii="Times New Roman"/>
          <w:sz w:val="24"/>
          <w:szCs w:val="18"/>
        </w:rPr>
        <w:t>，</w:t>
      </w:r>
      <w:r>
        <w:rPr>
          <w:rFonts w:hint="eastAsia" w:ascii="Times New Roman" w:eastAsia="宋体"/>
          <w:sz w:val="24"/>
          <w:szCs w:val="18"/>
        </w:rPr>
        <w:t>宋锦春，刘克铭</w:t>
      </w:r>
      <w:r>
        <w:rPr>
          <w:rFonts w:hint="eastAsia" w:ascii="Times New Roman"/>
          <w:sz w:val="24"/>
          <w:szCs w:val="18"/>
        </w:rPr>
        <w:t>，</w:t>
      </w:r>
      <w:r>
        <w:rPr>
          <w:rFonts w:hint="eastAsia" w:ascii="Times New Roman" w:eastAsia="宋体"/>
          <w:sz w:val="24"/>
          <w:szCs w:val="18"/>
        </w:rPr>
        <w:t>等．基于偏振光法油雾浓度检测的研究[J]．光学技术，2011，37(3)：322-326．</w:t>
      </w:r>
    </w:p>
    <w:p>
      <w:pPr>
        <w:snapToGrid w:val="0"/>
        <w:spacing w:line="288" w:lineRule="auto"/>
        <w:ind w:left="480" w:hanging="480" w:hangingChars="200"/>
        <w:rPr>
          <w:rFonts w:ascii="Times New Roman" w:eastAsia="宋体"/>
          <w:sz w:val="24"/>
          <w:szCs w:val="18"/>
        </w:rPr>
      </w:pPr>
      <w:r>
        <w:rPr>
          <w:rFonts w:ascii="Times New Roman" w:hAnsi="Times New Roman" w:eastAsia="宋体" w:cs="Times New Roman"/>
          <w:sz w:val="24"/>
          <w:szCs w:val="18"/>
        </w:rPr>
        <w:t>[</w:t>
      </w:r>
      <w:r>
        <w:rPr>
          <w:rFonts w:hint="eastAsia" w:ascii="Times New Roman" w:hAnsi="Times New Roman" w:cs="Times New Roman"/>
          <w:sz w:val="24"/>
          <w:szCs w:val="18"/>
        </w:rPr>
        <w:t>5</w:t>
      </w:r>
      <w:r>
        <w:rPr>
          <w:rFonts w:ascii="Times New Roman" w:hAnsi="Times New Roman" w:eastAsia="宋体" w:cs="Times New Roman"/>
          <w:sz w:val="24"/>
          <w:szCs w:val="18"/>
        </w:rPr>
        <w:t xml:space="preserve">] </w:t>
      </w:r>
      <w:r>
        <w:rPr>
          <w:rFonts w:hint="eastAsia" w:ascii="Times New Roman"/>
          <w:sz w:val="24"/>
          <w:szCs w:val="18"/>
        </w:rPr>
        <w:t>侯海燕，余斯安</w:t>
      </w:r>
      <w:r>
        <w:rPr>
          <w:rFonts w:hint="eastAsia" w:ascii="Times New Roman" w:eastAsia="宋体"/>
          <w:sz w:val="24"/>
          <w:szCs w:val="18"/>
        </w:rPr>
        <w:t>，</w:t>
      </w:r>
      <w:r>
        <w:rPr>
          <w:rFonts w:hint="eastAsia" w:ascii="Times New Roman"/>
          <w:sz w:val="24"/>
          <w:szCs w:val="18"/>
        </w:rPr>
        <w:t>唐新宜，</w:t>
      </w:r>
      <w:r>
        <w:rPr>
          <w:rFonts w:hint="eastAsia" w:ascii="Times New Roman" w:eastAsia="宋体"/>
          <w:sz w:val="24"/>
          <w:szCs w:val="18"/>
        </w:rPr>
        <w:t>等．</w:t>
      </w:r>
      <w:r>
        <w:rPr>
          <w:rFonts w:hint="eastAsia" w:ascii="Times New Roman"/>
          <w:sz w:val="24"/>
          <w:szCs w:val="18"/>
        </w:rPr>
        <w:t>金属加工液油雾的采样与检测</w:t>
      </w:r>
      <w:r>
        <w:rPr>
          <w:rFonts w:hint="eastAsia" w:ascii="Times New Roman" w:eastAsia="宋体"/>
          <w:sz w:val="24"/>
          <w:szCs w:val="18"/>
        </w:rPr>
        <w:t>[J]．</w:t>
      </w:r>
      <w:r>
        <w:rPr>
          <w:rFonts w:hint="eastAsia" w:ascii="Times New Roman"/>
          <w:sz w:val="24"/>
          <w:szCs w:val="18"/>
        </w:rPr>
        <w:t>润滑油</w:t>
      </w:r>
      <w:r>
        <w:rPr>
          <w:rFonts w:hint="eastAsia" w:ascii="Times New Roman" w:eastAsia="宋体"/>
          <w:sz w:val="24"/>
          <w:szCs w:val="18"/>
        </w:rPr>
        <w:t>，2</w:t>
      </w:r>
      <w:r>
        <w:rPr>
          <w:rFonts w:hint="eastAsia" w:ascii="Times New Roman"/>
          <w:sz w:val="24"/>
          <w:szCs w:val="18"/>
        </w:rPr>
        <w:t>007</w:t>
      </w:r>
      <w:r>
        <w:rPr>
          <w:rFonts w:hint="eastAsia" w:ascii="Times New Roman" w:eastAsia="宋体"/>
          <w:sz w:val="24"/>
          <w:szCs w:val="18"/>
        </w:rPr>
        <w:t>，</w:t>
      </w:r>
      <w:r>
        <w:rPr>
          <w:rFonts w:hint="eastAsia" w:ascii="Times New Roman"/>
          <w:sz w:val="24"/>
          <w:szCs w:val="18"/>
        </w:rPr>
        <w:t>22</w:t>
      </w:r>
      <w:r>
        <w:rPr>
          <w:rFonts w:hint="eastAsia" w:ascii="Times New Roman" w:eastAsia="宋体"/>
          <w:sz w:val="24"/>
          <w:szCs w:val="18"/>
        </w:rPr>
        <w:t>(</w:t>
      </w:r>
      <w:r>
        <w:rPr>
          <w:rFonts w:hint="eastAsia" w:ascii="Times New Roman"/>
          <w:sz w:val="24"/>
          <w:szCs w:val="18"/>
        </w:rPr>
        <w:t>4</w:t>
      </w:r>
      <w:r>
        <w:rPr>
          <w:rFonts w:hint="eastAsia" w:ascii="Times New Roman" w:eastAsia="宋体"/>
          <w:sz w:val="24"/>
          <w:szCs w:val="18"/>
        </w:rPr>
        <w:t>)：</w:t>
      </w:r>
      <w:r>
        <w:rPr>
          <w:rFonts w:hint="eastAsia" w:ascii="Times New Roman"/>
          <w:sz w:val="24"/>
          <w:szCs w:val="18"/>
        </w:rPr>
        <w:t>53-55</w:t>
      </w:r>
      <w:r>
        <w:rPr>
          <w:rFonts w:hint="eastAsia" w:ascii="Times New Roman" w:eastAsia="宋体"/>
          <w:sz w:val="24"/>
          <w:szCs w:val="18"/>
        </w:rPr>
        <w:t>．</w:t>
      </w:r>
    </w:p>
    <w:p>
      <w:pPr>
        <w:snapToGrid w:val="0"/>
        <w:spacing w:line="288" w:lineRule="auto"/>
        <w:ind w:left="480" w:hanging="480" w:hangingChars="200"/>
        <w:rPr>
          <w:rFonts w:ascii="Times New Roman" w:eastAsia="宋体"/>
          <w:sz w:val="24"/>
          <w:szCs w:val="18"/>
        </w:rPr>
      </w:pPr>
      <w:r>
        <w:rPr>
          <w:rFonts w:ascii="Times New Roman" w:hAnsi="Times New Roman" w:eastAsia="宋体" w:cs="Times New Roman"/>
          <w:sz w:val="24"/>
          <w:szCs w:val="18"/>
        </w:rPr>
        <w:t>[</w:t>
      </w:r>
      <w:r>
        <w:rPr>
          <w:rFonts w:hint="eastAsia" w:ascii="Times New Roman" w:hAnsi="Times New Roman" w:cs="Times New Roman"/>
          <w:sz w:val="24"/>
          <w:szCs w:val="18"/>
        </w:rPr>
        <w:t>6</w:t>
      </w:r>
      <w:r>
        <w:rPr>
          <w:rFonts w:ascii="Times New Roman" w:hAnsi="Times New Roman" w:eastAsia="宋体" w:cs="Times New Roman"/>
          <w:sz w:val="24"/>
          <w:szCs w:val="18"/>
        </w:rPr>
        <w:t>]</w:t>
      </w:r>
      <w:r>
        <w:rPr>
          <w:rFonts w:hint="eastAsia" w:ascii="Times New Roman" w:eastAsia="宋体"/>
          <w:sz w:val="24"/>
          <w:szCs w:val="18"/>
        </w:rPr>
        <w:t xml:space="preserve"> National Institutr for Occupational Safety and Health（NIOSH）：Method 5026:Oil Mist,Minenal,1996</w:t>
      </w:r>
    </w:p>
    <w:p>
      <w:pPr>
        <w:snapToGrid w:val="0"/>
        <w:spacing w:line="288" w:lineRule="auto"/>
        <w:ind w:left="480" w:hanging="480" w:hangingChars="200"/>
        <w:rPr>
          <w:rFonts w:ascii="Times New Roman" w:eastAsia="宋体"/>
          <w:sz w:val="24"/>
          <w:szCs w:val="18"/>
        </w:rPr>
      </w:pPr>
      <w:r>
        <w:rPr>
          <w:rFonts w:ascii="Times New Roman" w:hAnsi="Times New Roman" w:eastAsia="宋体" w:cs="Times New Roman"/>
          <w:sz w:val="24"/>
          <w:szCs w:val="18"/>
        </w:rPr>
        <w:t>[</w:t>
      </w:r>
      <w:r>
        <w:rPr>
          <w:rFonts w:hint="eastAsia" w:ascii="Times New Roman" w:hAnsi="Times New Roman" w:cs="Times New Roman"/>
          <w:sz w:val="24"/>
          <w:szCs w:val="18"/>
        </w:rPr>
        <w:t>7</w:t>
      </w:r>
      <w:r>
        <w:rPr>
          <w:rFonts w:ascii="Times New Roman" w:hAnsi="Times New Roman" w:eastAsia="宋体" w:cs="Times New Roman"/>
          <w:sz w:val="24"/>
          <w:szCs w:val="18"/>
        </w:rPr>
        <w:t>]</w:t>
      </w:r>
      <w:r>
        <w:rPr>
          <w:rFonts w:hint="eastAsia" w:ascii="Times New Roman"/>
          <w:sz w:val="24"/>
          <w:szCs w:val="18"/>
        </w:rPr>
        <w:t>金米聪，王立，符展明</w:t>
      </w:r>
      <w:r>
        <w:rPr>
          <w:rFonts w:hint="eastAsia" w:ascii="Times New Roman" w:eastAsia="宋体"/>
          <w:sz w:val="24"/>
          <w:szCs w:val="18"/>
        </w:rPr>
        <w:t>，等．</w:t>
      </w:r>
      <w:r>
        <w:rPr>
          <w:rFonts w:hint="eastAsia" w:ascii="Times New Roman"/>
          <w:sz w:val="24"/>
          <w:szCs w:val="18"/>
        </w:rPr>
        <w:t>车间空气中润滑油的采集与紫外分光光度法测定</w:t>
      </w:r>
      <w:r>
        <w:rPr>
          <w:rFonts w:hint="eastAsia" w:ascii="Times New Roman" w:eastAsia="宋体"/>
          <w:sz w:val="24"/>
          <w:szCs w:val="18"/>
        </w:rPr>
        <w:t>[J]．</w:t>
      </w:r>
      <w:r>
        <w:rPr>
          <w:rFonts w:hint="eastAsia" w:ascii="Times New Roman"/>
          <w:sz w:val="24"/>
          <w:szCs w:val="18"/>
        </w:rPr>
        <w:t>卫生研究</w:t>
      </w:r>
      <w:r>
        <w:rPr>
          <w:rFonts w:hint="eastAsia" w:ascii="Times New Roman" w:eastAsia="宋体"/>
          <w:sz w:val="24"/>
          <w:szCs w:val="18"/>
        </w:rPr>
        <w:t>，</w:t>
      </w:r>
      <w:r>
        <w:rPr>
          <w:rFonts w:hint="eastAsia" w:ascii="Times New Roman"/>
          <w:sz w:val="24"/>
          <w:szCs w:val="18"/>
        </w:rPr>
        <w:t>2000</w:t>
      </w:r>
      <w:r>
        <w:rPr>
          <w:rFonts w:hint="eastAsia" w:ascii="Times New Roman" w:eastAsia="宋体"/>
          <w:sz w:val="24"/>
          <w:szCs w:val="18"/>
        </w:rPr>
        <w:t>，29(</w:t>
      </w:r>
      <w:r>
        <w:rPr>
          <w:rFonts w:hint="eastAsia" w:ascii="Times New Roman"/>
          <w:sz w:val="24"/>
          <w:szCs w:val="18"/>
        </w:rPr>
        <w:t>3</w:t>
      </w:r>
      <w:r>
        <w:rPr>
          <w:rFonts w:hint="eastAsia" w:ascii="Times New Roman" w:eastAsia="宋体"/>
          <w:sz w:val="24"/>
          <w:szCs w:val="18"/>
        </w:rPr>
        <w:t>)：</w:t>
      </w:r>
      <w:r>
        <w:rPr>
          <w:rFonts w:hint="eastAsia" w:ascii="Times New Roman"/>
          <w:sz w:val="24"/>
          <w:szCs w:val="18"/>
        </w:rPr>
        <w:t>133-134</w:t>
      </w:r>
      <w:r>
        <w:rPr>
          <w:rFonts w:hint="eastAsia" w:ascii="Times New Roman" w:eastAsia="宋体"/>
          <w:sz w:val="24"/>
          <w:szCs w:val="18"/>
        </w:rPr>
        <w:t>．</w:t>
      </w:r>
    </w:p>
    <w:p>
      <w:pPr>
        <w:snapToGrid w:val="0"/>
        <w:spacing w:line="288" w:lineRule="auto"/>
        <w:rPr>
          <w:rFonts w:ascii="Times New Roman" w:eastAsia="宋体"/>
          <w:sz w:val="24"/>
          <w:szCs w:val="18"/>
        </w:rPr>
      </w:pPr>
      <w:r>
        <w:rPr>
          <w:rFonts w:ascii="Times New Roman" w:hAnsi="Times New Roman" w:eastAsia="宋体" w:cs="Times New Roman"/>
          <w:sz w:val="24"/>
          <w:szCs w:val="18"/>
        </w:rPr>
        <w:t>[</w:t>
      </w:r>
      <w:r>
        <w:rPr>
          <w:rFonts w:hint="eastAsia" w:ascii="Times New Roman" w:hAnsi="Times New Roman" w:cs="Times New Roman"/>
          <w:sz w:val="24"/>
          <w:szCs w:val="18"/>
        </w:rPr>
        <w:t>8</w:t>
      </w:r>
      <w:r>
        <w:rPr>
          <w:rFonts w:ascii="Times New Roman" w:hAnsi="Times New Roman" w:eastAsia="宋体" w:cs="Times New Roman"/>
          <w:sz w:val="24"/>
          <w:szCs w:val="18"/>
        </w:rPr>
        <w:t xml:space="preserve">] </w:t>
      </w:r>
      <w:r>
        <w:rPr>
          <w:rFonts w:hint="eastAsia" w:ascii="Times New Roman" w:eastAsia="宋体"/>
          <w:sz w:val="24"/>
          <w:szCs w:val="18"/>
        </w:rPr>
        <w:t>HJ 637-2018 水质 石油类和动植物油类的测定 红外分光光度法[S]．</w:t>
      </w:r>
    </w:p>
    <w:p>
      <w:pPr>
        <w:snapToGrid w:val="0"/>
        <w:spacing w:line="288" w:lineRule="auto"/>
        <w:rPr>
          <w:rFonts w:ascii="Times New Roman" w:eastAsia="宋体"/>
          <w:sz w:val="24"/>
          <w:szCs w:val="18"/>
        </w:rPr>
      </w:pPr>
      <w:r>
        <w:rPr>
          <w:rFonts w:ascii="Times New Roman" w:hAnsi="Times New Roman" w:eastAsia="宋体" w:cs="Times New Roman"/>
          <w:sz w:val="24"/>
          <w:szCs w:val="18"/>
        </w:rPr>
        <w:t>[</w:t>
      </w:r>
      <w:r>
        <w:rPr>
          <w:rFonts w:hint="eastAsia" w:ascii="Times New Roman" w:hAnsi="Times New Roman" w:cs="Times New Roman"/>
          <w:sz w:val="24"/>
          <w:szCs w:val="18"/>
        </w:rPr>
        <w:t>9</w:t>
      </w:r>
      <w:r>
        <w:rPr>
          <w:rFonts w:ascii="Times New Roman" w:hAnsi="Times New Roman" w:eastAsia="宋体" w:cs="Times New Roman"/>
          <w:sz w:val="24"/>
          <w:szCs w:val="18"/>
        </w:rPr>
        <w:t>]</w:t>
      </w:r>
      <w:r>
        <w:rPr>
          <w:rFonts w:hint="eastAsia" w:ascii="Times New Roman" w:eastAsia="宋体"/>
          <w:sz w:val="24"/>
          <w:szCs w:val="18"/>
        </w:rPr>
        <w:t>HJ 168-2010</w:t>
      </w:r>
      <w:r>
        <w:rPr>
          <w:rFonts w:hint="eastAsia" w:ascii="Times New Roman"/>
          <w:sz w:val="24"/>
          <w:szCs w:val="18"/>
        </w:rPr>
        <w:t xml:space="preserve"> 环境监测 分析方法标准制修订技术导则</w:t>
      </w:r>
      <w:r>
        <w:rPr>
          <w:rFonts w:hint="eastAsia" w:ascii="Times New Roman" w:eastAsia="宋体"/>
          <w:sz w:val="24"/>
          <w:szCs w:val="18"/>
        </w:rPr>
        <w:t>[S]．</w:t>
      </w:r>
    </w:p>
    <w:p>
      <w:pPr>
        <w:pStyle w:val="15"/>
        <w:spacing w:line="360" w:lineRule="auto"/>
        <w:ind w:firstLine="0" w:firstLineChars="0"/>
        <w:rPr>
          <w:rFonts w:ascii="Times New Roman" w:hAnsi="Times New Roman" w:cs="Times New Roman" w:eastAsiaTheme="majorEastAsia"/>
          <w:bCs/>
          <w:color w:val="000000" w:themeColor="text1"/>
          <w:sz w:val="24"/>
          <w:szCs w:val="24"/>
        </w:rPr>
      </w:pPr>
    </w:p>
    <w:p>
      <w:pPr>
        <w:pStyle w:val="15"/>
        <w:spacing w:line="360" w:lineRule="auto"/>
        <w:ind w:firstLine="480"/>
        <w:rPr>
          <w:rFonts w:ascii="Times New Roman" w:hAnsi="Times New Roman"/>
          <w:sz w:val="24"/>
          <w:szCs w:val="24"/>
        </w:rPr>
      </w:pPr>
    </w:p>
    <w:sectPr>
      <w:footerReference r:id="rId3" w:type="default"/>
      <w:pgSz w:w="11906" w:h="16838"/>
      <w:pgMar w:top="1440" w:right="1800" w:bottom="1440" w:left="1800" w:header="851" w:footer="669"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E17ECBF7-5580-41DA-A00D-53ABE7F9349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embedRegular r:id="rId2" w:fontKey="{019C96CD-AD4E-43DE-9AE4-B19FA55C4EE2}"/>
  </w:font>
  <w:font w:name="Calibri">
    <w:panose1 w:val="020F0502020204030204"/>
    <w:charset w:val="00"/>
    <w:family w:val="swiss"/>
    <w:pitch w:val="default"/>
    <w:sig w:usb0="E00002FF" w:usb1="4000ACFF" w:usb2="00000001" w:usb3="00000000" w:csb0="2000019F" w:csb1="00000000"/>
    <w:embedRegular r:id="rId3" w:fontKey="{EEA4B792-796C-48C8-9D6C-DC0B67DD5592}"/>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方正黑体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仿宋简体">
    <w:panose1 w:val="03000509000000000000"/>
    <w:charset w:val="86"/>
    <w:family w:val="script"/>
    <w:pitch w:val="default"/>
    <w:sig w:usb0="00000001" w:usb1="080E0000" w:usb2="00000000" w:usb3="00000000" w:csb0="00040000" w:csb1="00000000"/>
    <w:embedRegular r:id="rId4" w:fontKey="{3DD1C8DF-6996-4168-AE2C-81211E89109B}"/>
  </w:font>
  <w:font w:name="Verdana">
    <w:panose1 w:val="020B0604030504040204"/>
    <w:charset w:val="00"/>
    <w:family w:val="swiss"/>
    <w:pitch w:val="default"/>
    <w:sig w:usb0="A10006FF" w:usb1="4000205B" w:usb2="00000010" w:usb3="00000000" w:csb0="2000019F" w:csb1="00000000"/>
    <w:embedRegular r:id="rId5" w:fontKey="{41148B09-2D43-49DE-875C-87A7E9279E8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78152"/>
    </w:sdtPr>
    <w:sdtContent>
      <w:sdt>
        <w:sdtPr>
          <w:id w:val="98381352"/>
        </w:sdtPr>
        <w:sdtContent>
          <w:p>
            <w:pPr>
              <w:pStyle w:val="5"/>
              <w:jc w:val="center"/>
            </w:pPr>
            <w:r>
              <w:rPr>
                <w:b/>
                <w:sz w:val="28"/>
                <w:szCs w:val="28"/>
              </w:rPr>
              <w:fldChar w:fldCharType="begin"/>
            </w:r>
            <w:r>
              <w:rPr>
                <w:b/>
                <w:sz w:val="28"/>
                <w:szCs w:val="28"/>
              </w:rPr>
              <w:instrText xml:space="preserve">PAGE</w:instrText>
            </w:r>
            <w:r>
              <w:rPr>
                <w:b/>
                <w:sz w:val="28"/>
                <w:szCs w:val="28"/>
              </w:rPr>
              <w:fldChar w:fldCharType="separate"/>
            </w:r>
            <w:r>
              <w:rPr>
                <w:b/>
                <w:sz w:val="28"/>
                <w:szCs w:val="28"/>
              </w:rPr>
              <w:t>3</w:t>
            </w:r>
            <w:r>
              <w:rPr>
                <w:b/>
                <w:sz w:val="28"/>
                <w:szCs w:val="28"/>
              </w:rPr>
              <w:fldChar w:fldCharType="end"/>
            </w:r>
            <w:r>
              <w:rPr>
                <w:sz w:val="28"/>
                <w:szCs w:val="28"/>
                <w:lang w:val="zh-CN"/>
              </w:rPr>
              <w:t xml:space="preserve"> / </w:t>
            </w:r>
            <w:r>
              <w:rPr>
                <w:b/>
                <w:sz w:val="28"/>
                <w:szCs w:val="28"/>
              </w:rPr>
              <w:fldChar w:fldCharType="begin"/>
            </w:r>
            <w:r>
              <w:rPr>
                <w:b/>
                <w:sz w:val="28"/>
                <w:szCs w:val="28"/>
              </w:rPr>
              <w:instrText xml:space="preserve">NUMPAGES</w:instrText>
            </w:r>
            <w:r>
              <w:rPr>
                <w:b/>
                <w:sz w:val="28"/>
                <w:szCs w:val="28"/>
              </w:rPr>
              <w:fldChar w:fldCharType="separate"/>
            </w:r>
            <w:r>
              <w:rPr>
                <w:b/>
                <w:sz w:val="28"/>
                <w:szCs w:val="28"/>
              </w:rPr>
              <w:t>12</w:t>
            </w:r>
            <w:r>
              <w:rPr>
                <w:b/>
                <w:sz w:val="28"/>
                <w:szCs w:val="28"/>
              </w:rPr>
              <w:fldChar w:fldCharType="end"/>
            </w:r>
          </w:p>
        </w:sdtContent>
      </w:sdt>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CF7C17"/>
    <w:multiLevelType w:val="multilevel"/>
    <w:tmpl w:val="18CF7C17"/>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0"/>
      <w:suff w:val="nothing"/>
      <w:lvlText w:val="%1.%2　"/>
      <w:lvlJc w:val="left"/>
      <w:pPr>
        <w:ind w:left="567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26E31D0E"/>
    <w:multiLevelType w:val="multilevel"/>
    <w:tmpl w:val="26E31D0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36A00B2"/>
    <w:multiLevelType w:val="multilevel"/>
    <w:tmpl w:val="436A00B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64F66B0"/>
    <w:multiLevelType w:val="multilevel"/>
    <w:tmpl w:val="564F66B0"/>
    <w:lvl w:ilvl="0" w:tentative="0">
      <w:start w:val="1"/>
      <w:numFmt w:val="decimal"/>
      <w:lvlText w:val="%1、"/>
      <w:lvlJc w:val="left"/>
      <w:pPr>
        <w:ind w:left="1713" w:hanging="720"/>
      </w:pPr>
      <w:rPr>
        <w:rFonts w:ascii="Verdana" w:hAnsi="Verdana"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docVars>
    <w:docVar w:name="commondata" w:val="eyJoZGlkIjoiZDg0ZWEyZjk4NmQ2YzhiNDAyZDNiMTI0ODM1ZWZmNDEifQ=="/>
  </w:docVars>
  <w:rsids>
    <w:rsidRoot w:val="00E841FF"/>
    <w:rsid w:val="00023AB9"/>
    <w:rsid w:val="00032D3C"/>
    <w:rsid w:val="00043D0C"/>
    <w:rsid w:val="00071208"/>
    <w:rsid w:val="0007477D"/>
    <w:rsid w:val="000907B1"/>
    <w:rsid w:val="0009718D"/>
    <w:rsid w:val="000A1940"/>
    <w:rsid w:val="000C2584"/>
    <w:rsid w:val="000D3D24"/>
    <w:rsid w:val="000E009A"/>
    <w:rsid w:val="000F552A"/>
    <w:rsid w:val="000F6FEF"/>
    <w:rsid w:val="00114DDC"/>
    <w:rsid w:val="00115249"/>
    <w:rsid w:val="00123B4F"/>
    <w:rsid w:val="00130DEA"/>
    <w:rsid w:val="00130DEC"/>
    <w:rsid w:val="00140BE9"/>
    <w:rsid w:val="001421C9"/>
    <w:rsid w:val="00147A46"/>
    <w:rsid w:val="0016056B"/>
    <w:rsid w:val="00162DC6"/>
    <w:rsid w:val="00183768"/>
    <w:rsid w:val="001A4B2D"/>
    <w:rsid w:val="001C152D"/>
    <w:rsid w:val="001C45C4"/>
    <w:rsid w:val="001C691E"/>
    <w:rsid w:val="001D5CE8"/>
    <w:rsid w:val="001E0CB9"/>
    <w:rsid w:val="001E6470"/>
    <w:rsid w:val="001F0C3D"/>
    <w:rsid w:val="001F125A"/>
    <w:rsid w:val="001F6FF5"/>
    <w:rsid w:val="00200D52"/>
    <w:rsid w:val="002239FC"/>
    <w:rsid w:val="00244D62"/>
    <w:rsid w:val="0024606B"/>
    <w:rsid w:val="00264AB5"/>
    <w:rsid w:val="00272E6B"/>
    <w:rsid w:val="0027696D"/>
    <w:rsid w:val="002846BC"/>
    <w:rsid w:val="002865A2"/>
    <w:rsid w:val="002B1324"/>
    <w:rsid w:val="002C1F2E"/>
    <w:rsid w:val="003005CB"/>
    <w:rsid w:val="00312B90"/>
    <w:rsid w:val="0031586D"/>
    <w:rsid w:val="003162BB"/>
    <w:rsid w:val="00327AA6"/>
    <w:rsid w:val="00327F0D"/>
    <w:rsid w:val="00330BAC"/>
    <w:rsid w:val="003466A8"/>
    <w:rsid w:val="00347428"/>
    <w:rsid w:val="00362883"/>
    <w:rsid w:val="0036586C"/>
    <w:rsid w:val="0038093E"/>
    <w:rsid w:val="003850CC"/>
    <w:rsid w:val="00393823"/>
    <w:rsid w:val="003A5FA1"/>
    <w:rsid w:val="003D0482"/>
    <w:rsid w:val="003D0DEE"/>
    <w:rsid w:val="003D6C58"/>
    <w:rsid w:val="003E176E"/>
    <w:rsid w:val="003F3C06"/>
    <w:rsid w:val="004149E4"/>
    <w:rsid w:val="00415558"/>
    <w:rsid w:val="0042651F"/>
    <w:rsid w:val="00456850"/>
    <w:rsid w:val="00465469"/>
    <w:rsid w:val="00467932"/>
    <w:rsid w:val="00471859"/>
    <w:rsid w:val="00480718"/>
    <w:rsid w:val="004812E2"/>
    <w:rsid w:val="00485C5C"/>
    <w:rsid w:val="00487E78"/>
    <w:rsid w:val="004B5B28"/>
    <w:rsid w:val="004C64A6"/>
    <w:rsid w:val="004D6541"/>
    <w:rsid w:val="004E3FD3"/>
    <w:rsid w:val="004E5654"/>
    <w:rsid w:val="0050386D"/>
    <w:rsid w:val="005246B7"/>
    <w:rsid w:val="00573119"/>
    <w:rsid w:val="00595FB0"/>
    <w:rsid w:val="005960B9"/>
    <w:rsid w:val="005A475D"/>
    <w:rsid w:val="005B1D2F"/>
    <w:rsid w:val="005C6D10"/>
    <w:rsid w:val="005D723A"/>
    <w:rsid w:val="005E7116"/>
    <w:rsid w:val="0061394A"/>
    <w:rsid w:val="00613F87"/>
    <w:rsid w:val="00641E24"/>
    <w:rsid w:val="00653A79"/>
    <w:rsid w:val="006572E6"/>
    <w:rsid w:val="00664D64"/>
    <w:rsid w:val="00674326"/>
    <w:rsid w:val="006766CE"/>
    <w:rsid w:val="006A460B"/>
    <w:rsid w:val="006A604E"/>
    <w:rsid w:val="006A7673"/>
    <w:rsid w:val="006B5026"/>
    <w:rsid w:val="006D4814"/>
    <w:rsid w:val="006D5AA0"/>
    <w:rsid w:val="006D7A55"/>
    <w:rsid w:val="006E3A56"/>
    <w:rsid w:val="00710EC5"/>
    <w:rsid w:val="007333F6"/>
    <w:rsid w:val="007362F3"/>
    <w:rsid w:val="007378DE"/>
    <w:rsid w:val="00742F2B"/>
    <w:rsid w:val="007464C6"/>
    <w:rsid w:val="00747A74"/>
    <w:rsid w:val="007504EC"/>
    <w:rsid w:val="007536F4"/>
    <w:rsid w:val="00755BA8"/>
    <w:rsid w:val="007611FF"/>
    <w:rsid w:val="00771F5B"/>
    <w:rsid w:val="00773284"/>
    <w:rsid w:val="00782197"/>
    <w:rsid w:val="00793D84"/>
    <w:rsid w:val="007A5B4D"/>
    <w:rsid w:val="007B5AC7"/>
    <w:rsid w:val="007C2D51"/>
    <w:rsid w:val="007C76D9"/>
    <w:rsid w:val="007D2A81"/>
    <w:rsid w:val="007F436D"/>
    <w:rsid w:val="007F61F8"/>
    <w:rsid w:val="00806D73"/>
    <w:rsid w:val="0081625A"/>
    <w:rsid w:val="00817A73"/>
    <w:rsid w:val="008234E6"/>
    <w:rsid w:val="00824316"/>
    <w:rsid w:val="008336AA"/>
    <w:rsid w:val="00843003"/>
    <w:rsid w:val="008444CD"/>
    <w:rsid w:val="00856DF9"/>
    <w:rsid w:val="008850A0"/>
    <w:rsid w:val="008D0E38"/>
    <w:rsid w:val="008D2EEB"/>
    <w:rsid w:val="008F224C"/>
    <w:rsid w:val="00907F3C"/>
    <w:rsid w:val="009178B1"/>
    <w:rsid w:val="009219AA"/>
    <w:rsid w:val="0093686C"/>
    <w:rsid w:val="0094129A"/>
    <w:rsid w:val="0095129B"/>
    <w:rsid w:val="00951BB6"/>
    <w:rsid w:val="0095704B"/>
    <w:rsid w:val="00972435"/>
    <w:rsid w:val="009837F1"/>
    <w:rsid w:val="00987613"/>
    <w:rsid w:val="009A165B"/>
    <w:rsid w:val="009A3D3A"/>
    <w:rsid w:val="009A7008"/>
    <w:rsid w:val="009D5801"/>
    <w:rsid w:val="009D6974"/>
    <w:rsid w:val="009D6B58"/>
    <w:rsid w:val="00A20CEA"/>
    <w:rsid w:val="00A25D04"/>
    <w:rsid w:val="00A2741E"/>
    <w:rsid w:val="00A34AE2"/>
    <w:rsid w:val="00A55E80"/>
    <w:rsid w:val="00A60BD1"/>
    <w:rsid w:val="00A649F7"/>
    <w:rsid w:val="00AC59CC"/>
    <w:rsid w:val="00AD35EA"/>
    <w:rsid w:val="00AD75D1"/>
    <w:rsid w:val="00AE0731"/>
    <w:rsid w:val="00B16A22"/>
    <w:rsid w:val="00B238E1"/>
    <w:rsid w:val="00B25D9B"/>
    <w:rsid w:val="00B355D6"/>
    <w:rsid w:val="00B3675A"/>
    <w:rsid w:val="00B75A21"/>
    <w:rsid w:val="00B852A1"/>
    <w:rsid w:val="00B87219"/>
    <w:rsid w:val="00B90635"/>
    <w:rsid w:val="00BA61E0"/>
    <w:rsid w:val="00BC0132"/>
    <w:rsid w:val="00BC29DF"/>
    <w:rsid w:val="00BC783B"/>
    <w:rsid w:val="00BE5B12"/>
    <w:rsid w:val="00BF0CEC"/>
    <w:rsid w:val="00BF546A"/>
    <w:rsid w:val="00BF6EC5"/>
    <w:rsid w:val="00C1294B"/>
    <w:rsid w:val="00C14C76"/>
    <w:rsid w:val="00C226A8"/>
    <w:rsid w:val="00C30ADA"/>
    <w:rsid w:val="00C31E9B"/>
    <w:rsid w:val="00C61170"/>
    <w:rsid w:val="00C81AB8"/>
    <w:rsid w:val="00C82250"/>
    <w:rsid w:val="00C92486"/>
    <w:rsid w:val="00C936D3"/>
    <w:rsid w:val="00CA099C"/>
    <w:rsid w:val="00CA471C"/>
    <w:rsid w:val="00CA552C"/>
    <w:rsid w:val="00CB0390"/>
    <w:rsid w:val="00CB558B"/>
    <w:rsid w:val="00CD40C2"/>
    <w:rsid w:val="00CE072B"/>
    <w:rsid w:val="00D03101"/>
    <w:rsid w:val="00D32812"/>
    <w:rsid w:val="00D329A2"/>
    <w:rsid w:val="00D33A31"/>
    <w:rsid w:val="00D53998"/>
    <w:rsid w:val="00D5758F"/>
    <w:rsid w:val="00D62A36"/>
    <w:rsid w:val="00D70F9F"/>
    <w:rsid w:val="00D81CEF"/>
    <w:rsid w:val="00D87AC6"/>
    <w:rsid w:val="00D9133B"/>
    <w:rsid w:val="00DA63E2"/>
    <w:rsid w:val="00DB55F9"/>
    <w:rsid w:val="00DC0901"/>
    <w:rsid w:val="00DE3C1E"/>
    <w:rsid w:val="00DE6808"/>
    <w:rsid w:val="00E04DC1"/>
    <w:rsid w:val="00E07F6D"/>
    <w:rsid w:val="00E1148C"/>
    <w:rsid w:val="00E21334"/>
    <w:rsid w:val="00E30039"/>
    <w:rsid w:val="00E35E53"/>
    <w:rsid w:val="00E4449B"/>
    <w:rsid w:val="00E52691"/>
    <w:rsid w:val="00E71697"/>
    <w:rsid w:val="00E841FF"/>
    <w:rsid w:val="00E8532C"/>
    <w:rsid w:val="00E918B9"/>
    <w:rsid w:val="00E944BE"/>
    <w:rsid w:val="00EA2796"/>
    <w:rsid w:val="00EF0FDA"/>
    <w:rsid w:val="00EF31D3"/>
    <w:rsid w:val="00F00F7A"/>
    <w:rsid w:val="00F012CE"/>
    <w:rsid w:val="00F070B9"/>
    <w:rsid w:val="00F2009A"/>
    <w:rsid w:val="00F30CA8"/>
    <w:rsid w:val="00F63FA3"/>
    <w:rsid w:val="00F73116"/>
    <w:rsid w:val="00F73658"/>
    <w:rsid w:val="00F9438C"/>
    <w:rsid w:val="00FA189F"/>
    <w:rsid w:val="00FA3529"/>
    <w:rsid w:val="00FA40B9"/>
    <w:rsid w:val="00FB2375"/>
    <w:rsid w:val="00FC035E"/>
    <w:rsid w:val="00FC1FF0"/>
    <w:rsid w:val="00FC74B5"/>
    <w:rsid w:val="00FE0BC4"/>
    <w:rsid w:val="05B83994"/>
    <w:rsid w:val="05D656EE"/>
    <w:rsid w:val="05FA3812"/>
    <w:rsid w:val="0AE14A88"/>
    <w:rsid w:val="0CA82135"/>
    <w:rsid w:val="0DB07A3B"/>
    <w:rsid w:val="12AD0F24"/>
    <w:rsid w:val="16283A73"/>
    <w:rsid w:val="167F0452"/>
    <w:rsid w:val="19D66A55"/>
    <w:rsid w:val="1BEA6F8A"/>
    <w:rsid w:val="1C3E42A8"/>
    <w:rsid w:val="1F224F05"/>
    <w:rsid w:val="1FEA6EDB"/>
    <w:rsid w:val="21AB05E7"/>
    <w:rsid w:val="21D03DEF"/>
    <w:rsid w:val="222F391A"/>
    <w:rsid w:val="22F34E18"/>
    <w:rsid w:val="23E57145"/>
    <w:rsid w:val="250343C7"/>
    <w:rsid w:val="25E609D5"/>
    <w:rsid w:val="29003AAA"/>
    <w:rsid w:val="2966274F"/>
    <w:rsid w:val="297A1A86"/>
    <w:rsid w:val="29FA6D0E"/>
    <w:rsid w:val="2B035402"/>
    <w:rsid w:val="2B09478F"/>
    <w:rsid w:val="2E0C7B07"/>
    <w:rsid w:val="308162EA"/>
    <w:rsid w:val="313D65C9"/>
    <w:rsid w:val="325A51EB"/>
    <w:rsid w:val="326A2F77"/>
    <w:rsid w:val="35B3697C"/>
    <w:rsid w:val="378C6358"/>
    <w:rsid w:val="39261CAB"/>
    <w:rsid w:val="396E2FCE"/>
    <w:rsid w:val="39D94EAB"/>
    <w:rsid w:val="3F487366"/>
    <w:rsid w:val="40171E90"/>
    <w:rsid w:val="4262689C"/>
    <w:rsid w:val="436D206B"/>
    <w:rsid w:val="43F53FBC"/>
    <w:rsid w:val="48C0355E"/>
    <w:rsid w:val="4A7D721F"/>
    <w:rsid w:val="4B7A2CE6"/>
    <w:rsid w:val="4B99672D"/>
    <w:rsid w:val="4BC207D2"/>
    <w:rsid w:val="4C7B1C4F"/>
    <w:rsid w:val="4DDF1FCF"/>
    <w:rsid w:val="50CE6994"/>
    <w:rsid w:val="522F193A"/>
    <w:rsid w:val="52C372B5"/>
    <w:rsid w:val="53720004"/>
    <w:rsid w:val="53BE5B36"/>
    <w:rsid w:val="53F7512B"/>
    <w:rsid w:val="544E7A62"/>
    <w:rsid w:val="57351AFF"/>
    <w:rsid w:val="5DD2619F"/>
    <w:rsid w:val="5E6D0205"/>
    <w:rsid w:val="5F5F2038"/>
    <w:rsid w:val="5FB06B11"/>
    <w:rsid w:val="61F213CB"/>
    <w:rsid w:val="63675036"/>
    <w:rsid w:val="669C00FA"/>
    <w:rsid w:val="6A160BA1"/>
    <w:rsid w:val="6BEE2CD4"/>
    <w:rsid w:val="6CCA06D6"/>
    <w:rsid w:val="6CEE3437"/>
    <w:rsid w:val="6CEF5600"/>
    <w:rsid w:val="79F95C22"/>
    <w:rsid w:val="7A1A3523"/>
    <w:rsid w:val="7BCB44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qFormat="1" w:unhideWhenUsed="0" w:uiPriority="0" w:semiHidden="0"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1"/>
    <w:pPr>
      <w:spacing w:before="40"/>
      <w:ind w:left="100"/>
      <w:outlineLvl w:val="0"/>
    </w:pPr>
    <w:rPr>
      <w:rFonts w:ascii="宋体" w:hAnsi="宋体" w:eastAsia="宋体" w:cs="宋体"/>
      <w:sz w:val="20"/>
      <w:szCs w:val="20"/>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unhideWhenUsed/>
    <w:qFormat/>
    <w:uiPriority w:val="35"/>
    <w:pPr>
      <w:spacing w:before="152" w:after="160"/>
    </w:pPr>
    <w:rPr>
      <w:rFonts w:ascii="Arial" w:hAnsi="Arial" w:eastAsia="黑体" w:cs="Arial"/>
      <w:sz w:val="20"/>
      <w:szCs w:val="20"/>
    </w:rPr>
  </w:style>
  <w:style w:type="paragraph" w:styleId="4">
    <w:name w:val="Balloon Text"/>
    <w:basedOn w:val="1"/>
    <w:link w:val="24"/>
    <w:qFormat/>
    <w:uiPriority w:val="0"/>
    <w:rPr>
      <w:rFonts w:ascii="Times New Roman" w:hAnsi="Times New Roman" w:eastAsia="宋体" w:cs="Times New Roman"/>
      <w:sz w:val="18"/>
      <w:szCs w:val="18"/>
    </w:rPr>
  </w:style>
  <w:style w:type="paragraph" w:styleId="5">
    <w:name w:val="footer"/>
    <w:basedOn w:val="1"/>
    <w:link w:val="19"/>
    <w:unhideWhenUsed/>
    <w:qFormat/>
    <w:uiPriority w:val="99"/>
    <w:pPr>
      <w:tabs>
        <w:tab w:val="center" w:pos="4153"/>
        <w:tab w:val="right" w:pos="8306"/>
      </w:tabs>
      <w:snapToGrid w:val="0"/>
      <w:jc w:val="left"/>
    </w:pPr>
    <w:rPr>
      <w:sz w:val="18"/>
      <w:szCs w:val="18"/>
    </w:rPr>
  </w:style>
  <w:style w:type="paragraph" w:styleId="6">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39"/>
    <w:pPr>
      <w:tabs>
        <w:tab w:val="left" w:pos="630"/>
        <w:tab w:val="right" w:leader="dot" w:pos="8341"/>
      </w:tabs>
      <w:jc w:val="center"/>
    </w:pPr>
    <w:rPr>
      <w:rFonts w:ascii="Times New Roman" w:hAnsi="Times New Roman" w:eastAsia="宋体" w:cs="Times New Roman"/>
      <w:szCs w:val="24"/>
    </w:rPr>
  </w:style>
  <w:style w:type="paragraph" w:styleId="8">
    <w:name w:val="Title"/>
    <w:basedOn w:val="1"/>
    <w:next w:val="1"/>
    <w:link w:val="13"/>
    <w:qFormat/>
    <w:uiPriority w:val="10"/>
    <w:pPr>
      <w:spacing w:before="240" w:after="60"/>
      <w:jc w:val="center"/>
      <w:outlineLvl w:val="0"/>
    </w:pPr>
    <w:rPr>
      <w:rFonts w:eastAsia="宋体" w:asciiTheme="majorHAnsi" w:hAnsiTheme="majorHAnsi" w:cstheme="majorBidi"/>
      <w:b/>
      <w:bCs/>
      <w:sz w:val="32"/>
      <w:szCs w:val="32"/>
    </w:rPr>
  </w:style>
  <w:style w:type="table" w:styleId="10">
    <w:name w:val="Table Grid"/>
    <w:basedOn w:val="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TML Sample"/>
    <w:qFormat/>
    <w:uiPriority w:val="0"/>
    <w:rPr>
      <w:rFonts w:ascii="Courier New" w:hAnsi="Courier New"/>
    </w:rPr>
  </w:style>
  <w:style w:type="character" w:customStyle="1" w:styleId="13">
    <w:name w:val="标题 Char"/>
    <w:basedOn w:val="11"/>
    <w:link w:val="8"/>
    <w:qFormat/>
    <w:uiPriority w:val="10"/>
    <w:rPr>
      <w:rFonts w:eastAsia="宋体" w:asciiTheme="majorHAnsi" w:hAnsiTheme="majorHAnsi" w:cstheme="majorBidi"/>
      <w:b/>
      <w:bCs/>
      <w:sz w:val="32"/>
      <w:szCs w:val="32"/>
    </w:rPr>
  </w:style>
  <w:style w:type="paragraph" w:customStyle="1" w:styleId="14">
    <w:name w:val="目次、标准名称标题"/>
    <w:basedOn w:val="1"/>
    <w:next w:val="1"/>
    <w:qFormat/>
    <w:uiPriority w:val="0"/>
    <w:pPr>
      <w:keepNext/>
      <w:pageBreakBefore/>
      <w:widowControl/>
      <w:shd w:val="clear" w:color="FFFFFF" w:fill="FFFFFF"/>
      <w:spacing w:before="640" w:after="560" w:line="460" w:lineRule="exact"/>
      <w:jc w:val="center"/>
      <w:outlineLvl w:val="0"/>
    </w:pPr>
    <w:rPr>
      <w:rFonts w:ascii="黑体" w:hAnsi="Times New Roman" w:eastAsia="黑体" w:cs="Times New Roman"/>
      <w:kern w:val="0"/>
      <w:sz w:val="32"/>
      <w:szCs w:val="20"/>
    </w:rPr>
  </w:style>
  <w:style w:type="paragraph" w:customStyle="1" w:styleId="15">
    <w:name w:val="列出段落1"/>
    <w:basedOn w:val="1"/>
    <w:qFormat/>
    <w:uiPriority w:val="34"/>
    <w:pPr>
      <w:ind w:firstLine="420" w:firstLineChars="200"/>
    </w:pPr>
  </w:style>
  <w:style w:type="paragraph" w:customStyle="1" w:styleId="16">
    <w:name w:val="段"/>
    <w:link w:val="17"/>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7">
    <w:name w:val="段 Char"/>
    <w:basedOn w:val="11"/>
    <w:link w:val="16"/>
    <w:qFormat/>
    <w:uiPriority w:val="0"/>
    <w:rPr>
      <w:rFonts w:ascii="宋体" w:hAnsi="Times New Roman" w:eastAsia="宋体" w:cs="Times New Roman"/>
      <w:kern w:val="0"/>
      <w:szCs w:val="20"/>
    </w:rPr>
  </w:style>
  <w:style w:type="character" w:customStyle="1" w:styleId="18">
    <w:name w:val="页眉 Char"/>
    <w:basedOn w:val="11"/>
    <w:link w:val="6"/>
    <w:semiHidden/>
    <w:qFormat/>
    <w:uiPriority w:val="99"/>
    <w:rPr>
      <w:sz w:val="18"/>
      <w:szCs w:val="18"/>
    </w:rPr>
  </w:style>
  <w:style w:type="character" w:customStyle="1" w:styleId="19">
    <w:name w:val="页脚 Char"/>
    <w:basedOn w:val="11"/>
    <w:link w:val="5"/>
    <w:qFormat/>
    <w:uiPriority w:val="99"/>
    <w:rPr>
      <w:sz w:val="18"/>
      <w:szCs w:val="18"/>
    </w:rPr>
  </w:style>
  <w:style w:type="paragraph" w:customStyle="1" w:styleId="20">
    <w:name w:val="一级条标题"/>
    <w:next w:val="1"/>
    <w:qFormat/>
    <w:uiPriority w:val="0"/>
    <w:pPr>
      <w:numPr>
        <w:ilvl w:val="1"/>
        <w:numId w:val="1"/>
      </w:numPr>
      <w:spacing w:beforeLines="50" w:afterLines="50"/>
      <w:ind w:left="0"/>
      <w:outlineLvl w:val="2"/>
    </w:pPr>
    <w:rPr>
      <w:rFonts w:ascii="黑体" w:hAnsi="Times New Roman" w:eastAsia="黑体" w:cs="Times New Roman"/>
      <w:sz w:val="21"/>
      <w:szCs w:val="21"/>
      <w:lang w:val="en-US" w:eastAsia="zh-CN" w:bidi="ar-SA"/>
    </w:rPr>
  </w:style>
  <w:style w:type="paragraph" w:styleId="21">
    <w:name w:val="List Paragraph"/>
    <w:basedOn w:val="1"/>
    <w:unhideWhenUsed/>
    <w:qFormat/>
    <w:uiPriority w:val="34"/>
    <w:pPr>
      <w:ind w:firstLine="420" w:firstLineChars="200"/>
    </w:pPr>
  </w:style>
  <w:style w:type="paragraph" w:customStyle="1" w:styleId="22">
    <w:name w:val="Table Paragraph"/>
    <w:basedOn w:val="1"/>
    <w:qFormat/>
    <w:uiPriority w:val="1"/>
    <w:pPr>
      <w:autoSpaceDE w:val="0"/>
      <w:autoSpaceDN w:val="0"/>
      <w:jc w:val="left"/>
    </w:pPr>
    <w:rPr>
      <w:rFonts w:ascii="Arial Unicode MS" w:hAnsi="Arial Unicode MS" w:eastAsia="Arial Unicode MS" w:cs="Arial Unicode MS"/>
      <w:kern w:val="0"/>
      <w:sz w:val="22"/>
      <w:lang w:val="zh-CN" w:bidi="zh-CN"/>
    </w:rPr>
  </w:style>
  <w:style w:type="character" w:customStyle="1" w:styleId="23">
    <w:name w:val="段 Char Char"/>
    <w:qFormat/>
    <w:uiPriority w:val="0"/>
    <w:rPr>
      <w:rFonts w:ascii="宋体"/>
      <w:sz w:val="21"/>
      <w:lang w:val="en-US" w:eastAsia="zh-CN" w:bidi="ar-SA"/>
    </w:rPr>
  </w:style>
  <w:style w:type="character" w:customStyle="1" w:styleId="24">
    <w:name w:val="批注框文本 Char"/>
    <w:basedOn w:val="11"/>
    <w:link w:val="4"/>
    <w:qFormat/>
    <w:uiPriority w:val="0"/>
    <w:rPr>
      <w:kern w:val="2"/>
      <w:sz w:val="18"/>
      <w:szCs w:val="18"/>
    </w:rPr>
  </w:style>
  <w:style w:type="character" w:customStyle="1" w:styleId="25">
    <w:name w:val="font11"/>
    <w:basedOn w:val="11"/>
    <w:qFormat/>
    <w:uiPriority w:val="0"/>
    <w:rPr>
      <w:rFonts w:hint="eastAsia" w:ascii="宋体" w:hAnsi="宋体" w:eastAsia="宋体" w:cs="宋体"/>
      <w:color w:val="000000"/>
      <w:sz w:val="24"/>
      <w:szCs w:val="24"/>
      <w:u w:val="none"/>
    </w:rPr>
  </w:style>
  <w:style w:type="character" w:customStyle="1" w:styleId="26">
    <w:name w:val="font21"/>
    <w:basedOn w:val="11"/>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FA8427-3869-4CB4-8F44-BCE48B6D0050}">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12</Pages>
  <Words>5875</Words>
  <Characters>7449</Characters>
  <Lines>57</Lines>
  <Paragraphs>16</Paragraphs>
  <TotalTime>2</TotalTime>
  <ScaleCrop>false</ScaleCrop>
  <LinksUpToDate>false</LinksUpToDate>
  <CharactersWithSpaces>7740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2020-10-26T05:53:00Z</dcterms:created>
  <dc:creator>renyun</dc:creator>
  <cp:lastModifiedBy>天平联盟</cp:lastModifiedBy>
  <cp:lastPrinted>2020-03-31T03:09:00Z</cp:lastPrinted>
  <dcterms:modified xsi:type="dcterms:W3CDTF">2023-07-04T04:32:54Z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34A16CA7285E456B879D52794B26BE91</vt:lpwstr>
  </property>
</Properties>
</file>